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FC33" w14:textId="77777777" w:rsidR="009339C3" w:rsidRDefault="009339C3"/>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6248FC35" w14:textId="77777777" w:rsidTr="00250538">
        <w:trPr>
          <w:trHeight w:hRule="exact" w:val="1418"/>
        </w:trPr>
        <w:tc>
          <w:tcPr>
            <w:tcW w:w="7761" w:type="dxa"/>
            <w:vAlign w:val="center"/>
          </w:tcPr>
          <w:p w14:paraId="6248FC34" w14:textId="77777777" w:rsidR="00975ED3" w:rsidRPr="00975ED3" w:rsidRDefault="00CA3DB8" w:rsidP="003F46E9">
            <w:pPr>
              <w:pStyle w:val="Title"/>
            </w:pPr>
            <w:r>
              <w:t>Department of Environment,</w:t>
            </w:r>
            <w:r>
              <w:br/>
              <w:t>Land, Water and Planning</w:t>
            </w:r>
          </w:p>
        </w:tc>
      </w:tr>
      <w:tr w:rsidR="00975ED3" w14:paraId="6248FC37" w14:textId="77777777" w:rsidTr="00250538">
        <w:trPr>
          <w:trHeight w:val="1247"/>
        </w:trPr>
        <w:tc>
          <w:tcPr>
            <w:tcW w:w="7761" w:type="dxa"/>
            <w:vAlign w:val="center"/>
          </w:tcPr>
          <w:p w14:paraId="6248FC36" w14:textId="77777777" w:rsidR="00975ED3" w:rsidRDefault="00CA3DB8" w:rsidP="003F46E9">
            <w:pPr>
              <w:pStyle w:val="Subtitle"/>
            </w:pPr>
            <w:r>
              <w:t>Position Description</w:t>
            </w:r>
          </w:p>
        </w:tc>
      </w:tr>
    </w:tbl>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80"/>
        <w:gridCol w:w="7654"/>
      </w:tblGrid>
      <w:tr w:rsidR="00CA3DB8" w:rsidRPr="001B1027" w14:paraId="6248FC3A" w14:textId="77777777" w:rsidTr="007912C5">
        <w:tc>
          <w:tcPr>
            <w:tcW w:w="10234" w:type="dxa"/>
            <w:gridSpan w:val="2"/>
            <w:tcBorders>
              <w:top w:val="nil"/>
              <w:left w:val="nil"/>
              <w:bottom w:val="nil"/>
              <w:right w:val="nil"/>
            </w:tcBorders>
            <w:vAlign w:val="center"/>
          </w:tcPr>
          <w:p w14:paraId="6248FC38" w14:textId="77777777" w:rsidR="00CA3DB8" w:rsidRPr="001B1027" w:rsidRDefault="00CA3DB8" w:rsidP="007912C5">
            <w:pPr>
              <w:pStyle w:val="DTPLIheadinggreen"/>
              <w:spacing w:before="12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Position purpose</w:t>
            </w:r>
          </w:p>
          <w:p w14:paraId="35A11871" w14:textId="77777777" w:rsidR="00AB6F68" w:rsidRPr="00AB6F68" w:rsidRDefault="00AB6F68" w:rsidP="00AB6F68">
            <w:pPr>
              <w:pStyle w:val="DTPLIheadinggreen"/>
              <w:spacing w:before="120"/>
              <w:rPr>
                <w:rFonts w:ascii="Arial" w:hAnsi="Arial"/>
                <w:color w:val="363534" w:themeColor="text1"/>
                <w:sz w:val="20"/>
                <w:szCs w:val="22"/>
                <w:lang w:eastAsia="zh-CN"/>
              </w:rPr>
            </w:pPr>
            <w:r w:rsidRPr="00AB6F68">
              <w:rPr>
                <w:rFonts w:ascii="Arial" w:hAnsi="Arial"/>
                <w:color w:val="363534" w:themeColor="text1"/>
                <w:sz w:val="20"/>
                <w:szCs w:val="22"/>
                <w:lang w:eastAsia="zh-CN"/>
              </w:rPr>
              <w:t xml:space="preserve">The Murray-Darling Basin Plan requires Victoria to prepare five Water Resource Plans (WRPs) by June 2019. WRPs demonstrate Victoria’s arrangements for the sustainable use and management of water resources. This position is part of the team responsible for delivering Victoria’s WRPs. </w:t>
            </w:r>
          </w:p>
          <w:p w14:paraId="6248FC39" w14:textId="2D249ADD" w:rsidR="00CA3DB8" w:rsidRPr="001B1027" w:rsidRDefault="00AB6F68" w:rsidP="00AB6F68">
            <w:pPr>
              <w:tabs>
                <w:tab w:val="left" w:pos="10178"/>
              </w:tabs>
              <w:ind w:right="114"/>
              <w:rPr>
                <w:rFonts w:ascii="Arial" w:hAnsi="Arial"/>
                <w:szCs w:val="22"/>
                <w:lang w:eastAsia="zh-CN"/>
              </w:rPr>
            </w:pPr>
            <w:r w:rsidRPr="00AB6F68">
              <w:rPr>
                <w:rFonts w:ascii="Arial" w:hAnsi="Arial"/>
                <w:szCs w:val="22"/>
                <w:lang w:eastAsia="zh-CN"/>
              </w:rPr>
              <w:t xml:space="preserve">You will </w:t>
            </w:r>
            <w:r>
              <w:rPr>
                <w:rFonts w:ascii="Arial" w:hAnsi="Arial"/>
                <w:szCs w:val="22"/>
                <w:lang w:eastAsia="zh-CN"/>
              </w:rPr>
              <w:t>be responsible for delivering</w:t>
            </w:r>
            <w:r w:rsidRPr="00AB6F68">
              <w:rPr>
                <w:rFonts w:ascii="Arial" w:hAnsi="Arial"/>
                <w:szCs w:val="22"/>
                <w:lang w:eastAsia="zh-CN"/>
              </w:rPr>
              <w:t xml:space="preserve"> the stakeholder engagement strategy and ensuring a coordinated approach to stakeholder engagement on WRPs. This role requires a person with skills and experience in stakeholder engagement within the water sector. An understanding of</w:t>
            </w:r>
            <w:r>
              <w:rPr>
                <w:rFonts w:ascii="Arial" w:hAnsi="Arial"/>
                <w:szCs w:val="22"/>
                <w:lang w:eastAsia="zh-CN"/>
              </w:rPr>
              <w:t xml:space="preserve"> the requirements of the Murray-</w:t>
            </w:r>
            <w:r w:rsidRPr="00AB6F68">
              <w:rPr>
                <w:rFonts w:ascii="Arial" w:hAnsi="Arial"/>
                <w:szCs w:val="22"/>
                <w:lang w:eastAsia="zh-CN"/>
              </w:rPr>
              <w:t>Darling Basin Plan and experience with Indigenous engagement is highly desirable.</w:t>
            </w:r>
          </w:p>
        </w:tc>
      </w:tr>
      <w:tr w:rsidR="00CA3DB8" w:rsidRPr="001B1027" w14:paraId="6248FC3C"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113"/>
        </w:trPr>
        <w:tc>
          <w:tcPr>
            <w:tcW w:w="10234" w:type="dxa"/>
            <w:gridSpan w:val="2"/>
            <w:tcBorders>
              <w:top w:val="nil"/>
              <w:bottom w:val="nil"/>
              <w:right w:val="nil"/>
            </w:tcBorders>
          </w:tcPr>
          <w:p w14:paraId="6248FC3B" w14:textId="77777777" w:rsidR="00CA3DB8" w:rsidRPr="001B1027" w:rsidRDefault="00CA3DB8" w:rsidP="007912C5">
            <w:pPr>
              <w:ind w:right="-450"/>
              <w:rPr>
                <w:rFonts w:ascii="Arial" w:hAnsi="Arial"/>
                <w:szCs w:val="22"/>
              </w:rPr>
            </w:pPr>
          </w:p>
        </w:tc>
      </w:tr>
      <w:tr w:rsidR="00CA3DB8" w:rsidRPr="001B1027" w14:paraId="6248FC3E"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42"/>
        </w:trPr>
        <w:tc>
          <w:tcPr>
            <w:tcW w:w="10234" w:type="dxa"/>
            <w:gridSpan w:val="2"/>
            <w:tcBorders>
              <w:top w:val="nil"/>
              <w:bottom w:val="nil"/>
              <w:right w:val="nil"/>
            </w:tcBorders>
          </w:tcPr>
          <w:p w14:paraId="6248FC3D" w14:textId="77777777" w:rsidR="00CA3DB8" w:rsidRPr="001B1027" w:rsidRDefault="00CA3DB8" w:rsidP="007912C5">
            <w:pPr>
              <w:pStyle w:val="DTPLIheadinggreen"/>
              <w:spacing w:before="120"/>
              <w:rPr>
                <w:rFonts w:ascii="Arial" w:hAnsi="Arial"/>
                <w:b/>
                <w:color w:val="A6A1B5" w:themeColor="accent6"/>
                <w:sz w:val="28"/>
                <w:szCs w:val="28"/>
                <w:lang w:eastAsia="zh-CN"/>
              </w:rPr>
            </w:pPr>
            <w:r w:rsidRPr="001B1027">
              <w:rPr>
                <w:rFonts w:ascii="Arial" w:hAnsi="Arial"/>
                <w:b/>
                <w:color w:val="C1ECEA" w:themeColor="accent5" w:themeTint="99"/>
                <w:sz w:val="28"/>
                <w:szCs w:val="28"/>
                <w:lang w:eastAsia="zh-CN"/>
              </w:rPr>
              <w:t>Position details</w:t>
            </w:r>
          </w:p>
        </w:tc>
      </w:tr>
      <w:tr w:rsidR="00CA3DB8" w:rsidRPr="001B1027" w14:paraId="6248FC41"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3F" w14:textId="77777777" w:rsidR="00CA3DB8" w:rsidRPr="001B1027" w:rsidRDefault="00CA3DB8" w:rsidP="007912C5">
            <w:pPr>
              <w:ind w:right="-450"/>
              <w:rPr>
                <w:rFonts w:ascii="Arial" w:hAnsi="Arial"/>
                <w:b/>
                <w:szCs w:val="22"/>
              </w:rPr>
            </w:pPr>
            <w:r w:rsidRPr="001B1027">
              <w:rPr>
                <w:rFonts w:ascii="Arial" w:hAnsi="Arial"/>
                <w:b/>
                <w:szCs w:val="22"/>
              </w:rPr>
              <w:t>Position title:</w:t>
            </w:r>
          </w:p>
        </w:tc>
        <w:tc>
          <w:tcPr>
            <w:tcW w:w="7654" w:type="dxa"/>
            <w:tcBorders>
              <w:top w:val="single" w:sz="2" w:space="0" w:color="auto"/>
              <w:left w:val="single" w:sz="2" w:space="0" w:color="auto"/>
              <w:bottom w:val="single" w:sz="2" w:space="0" w:color="auto"/>
              <w:right w:val="single" w:sz="2" w:space="0" w:color="auto"/>
            </w:tcBorders>
            <w:vAlign w:val="center"/>
          </w:tcPr>
          <w:p w14:paraId="6248FC40" w14:textId="6A7159C9" w:rsidR="00CA3DB8" w:rsidRPr="001B1027" w:rsidRDefault="00AB6F68" w:rsidP="007912C5">
            <w:pPr>
              <w:ind w:left="57" w:right="-450"/>
              <w:rPr>
                <w:rFonts w:ascii="Arial" w:hAnsi="Arial"/>
                <w:szCs w:val="22"/>
              </w:rPr>
            </w:pPr>
            <w:r w:rsidRPr="00AB6F68">
              <w:rPr>
                <w:rFonts w:ascii="Arial" w:hAnsi="Arial"/>
                <w:szCs w:val="22"/>
              </w:rPr>
              <w:t xml:space="preserve">Stakeholder Engagement Coordinator  </w:t>
            </w:r>
          </w:p>
        </w:tc>
      </w:tr>
      <w:tr w:rsidR="00CA3DB8" w:rsidRPr="001B1027" w14:paraId="6248FC44"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42" w14:textId="77777777" w:rsidR="00CA3DB8" w:rsidRPr="001B1027" w:rsidRDefault="00CA3DB8" w:rsidP="007912C5">
            <w:pPr>
              <w:ind w:right="-450"/>
              <w:rPr>
                <w:rFonts w:ascii="Arial" w:hAnsi="Arial"/>
                <w:b/>
                <w:szCs w:val="22"/>
              </w:rPr>
            </w:pPr>
            <w:r w:rsidRPr="001B1027">
              <w:rPr>
                <w:rFonts w:ascii="Arial" w:hAnsi="Arial"/>
                <w:b/>
                <w:szCs w:val="22"/>
              </w:rPr>
              <w:t>Position number:</w:t>
            </w:r>
          </w:p>
        </w:tc>
        <w:tc>
          <w:tcPr>
            <w:tcW w:w="7654" w:type="dxa"/>
            <w:tcBorders>
              <w:top w:val="single" w:sz="4" w:space="0" w:color="auto"/>
              <w:left w:val="single" w:sz="2" w:space="0" w:color="auto"/>
              <w:bottom w:val="single" w:sz="2" w:space="0" w:color="auto"/>
              <w:right w:val="single" w:sz="2" w:space="0" w:color="auto"/>
            </w:tcBorders>
            <w:vAlign w:val="center"/>
          </w:tcPr>
          <w:p w14:paraId="6248FC43" w14:textId="34146C01" w:rsidR="00CA3DB8" w:rsidRPr="001B1027" w:rsidRDefault="00AB6F68" w:rsidP="007912C5">
            <w:pPr>
              <w:ind w:left="57" w:right="-450"/>
              <w:rPr>
                <w:rFonts w:ascii="Arial" w:hAnsi="Arial"/>
                <w:szCs w:val="22"/>
              </w:rPr>
            </w:pPr>
            <w:r>
              <w:rPr>
                <w:rFonts w:ascii="Arial" w:hAnsi="Arial"/>
                <w:szCs w:val="22"/>
              </w:rPr>
              <w:t>922795</w:t>
            </w:r>
          </w:p>
        </w:tc>
      </w:tr>
      <w:tr w:rsidR="00CA3DB8" w:rsidRPr="001B1027" w14:paraId="6248FC47"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45" w14:textId="77777777" w:rsidR="00CA3DB8" w:rsidRPr="001B1027" w:rsidRDefault="00CA3DB8" w:rsidP="007912C5">
            <w:pPr>
              <w:ind w:right="-450"/>
              <w:rPr>
                <w:rFonts w:ascii="Arial" w:hAnsi="Arial"/>
                <w:b/>
                <w:szCs w:val="22"/>
              </w:rPr>
            </w:pPr>
            <w:r w:rsidRPr="001B1027">
              <w:rPr>
                <w:rFonts w:ascii="Arial" w:hAnsi="Arial"/>
                <w:b/>
                <w:szCs w:val="22"/>
              </w:rPr>
              <w:t>Classification:</w:t>
            </w:r>
          </w:p>
        </w:tc>
        <w:tc>
          <w:tcPr>
            <w:tcW w:w="7654" w:type="dxa"/>
            <w:tcBorders>
              <w:top w:val="single" w:sz="2" w:space="0" w:color="auto"/>
              <w:left w:val="single" w:sz="2" w:space="0" w:color="auto"/>
              <w:bottom w:val="single" w:sz="2" w:space="0" w:color="auto"/>
              <w:right w:val="single" w:sz="2" w:space="0" w:color="auto"/>
            </w:tcBorders>
            <w:vAlign w:val="center"/>
          </w:tcPr>
          <w:p w14:paraId="6248FC46" w14:textId="5852942B" w:rsidR="00CA3DB8" w:rsidRPr="001B1027" w:rsidRDefault="00AB6F68" w:rsidP="007912C5">
            <w:pPr>
              <w:ind w:left="57" w:right="-450"/>
              <w:rPr>
                <w:rFonts w:ascii="Arial" w:hAnsi="Arial"/>
                <w:szCs w:val="22"/>
              </w:rPr>
            </w:pPr>
            <w:r>
              <w:rPr>
                <w:rFonts w:ascii="Arial" w:hAnsi="Arial"/>
                <w:szCs w:val="22"/>
              </w:rPr>
              <w:t>VPS</w:t>
            </w:r>
            <w:r w:rsidR="00924B88">
              <w:rPr>
                <w:rFonts w:ascii="Arial" w:hAnsi="Arial"/>
                <w:szCs w:val="22"/>
              </w:rPr>
              <w:t xml:space="preserve"> Grade 5</w:t>
            </w:r>
          </w:p>
        </w:tc>
      </w:tr>
      <w:tr w:rsidR="00CA3DB8" w:rsidRPr="001B1027" w14:paraId="6248FC4A"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48" w14:textId="77777777" w:rsidR="00CA3DB8" w:rsidRPr="001B1027" w:rsidRDefault="00CA3DB8" w:rsidP="007912C5">
            <w:pPr>
              <w:ind w:right="-450"/>
              <w:rPr>
                <w:rFonts w:ascii="Arial" w:hAnsi="Arial"/>
                <w:b/>
                <w:szCs w:val="22"/>
              </w:rPr>
            </w:pPr>
            <w:r w:rsidRPr="001B1027">
              <w:rPr>
                <w:rFonts w:ascii="Arial" w:hAnsi="Arial"/>
                <w:b/>
                <w:szCs w:val="22"/>
              </w:rPr>
              <w:t>Salary range:</w:t>
            </w:r>
          </w:p>
        </w:tc>
        <w:tc>
          <w:tcPr>
            <w:tcW w:w="7654" w:type="dxa"/>
            <w:tcBorders>
              <w:top w:val="single" w:sz="2" w:space="0" w:color="auto"/>
              <w:left w:val="single" w:sz="2" w:space="0" w:color="auto"/>
              <w:bottom w:val="single" w:sz="2" w:space="0" w:color="auto"/>
              <w:right w:val="single" w:sz="2" w:space="0" w:color="auto"/>
            </w:tcBorders>
            <w:vAlign w:val="center"/>
          </w:tcPr>
          <w:p w14:paraId="6248FC49" w14:textId="22785A6B" w:rsidR="00CA3DB8" w:rsidRPr="001B1027" w:rsidRDefault="00CC084A" w:rsidP="007912C5">
            <w:pPr>
              <w:ind w:left="57" w:right="-450"/>
              <w:rPr>
                <w:rFonts w:ascii="Arial" w:hAnsi="Arial"/>
                <w:szCs w:val="22"/>
              </w:rPr>
            </w:pPr>
            <w:r>
              <w:rPr>
                <w:rFonts w:ascii="Arial" w:hAnsi="Arial"/>
                <w:szCs w:val="22"/>
              </w:rPr>
              <w:t>$95,275 - $115,276 + super ( 1 July 2018)</w:t>
            </w:r>
          </w:p>
        </w:tc>
      </w:tr>
      <w:tr w:rsidR="00CA3DB8" w:rsidRPr="001B1027" w14:paraId="6248FC4D"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4B" w14:textId="77777777" w:rsidR="00CA3DB8" w:rsidRPr="001B1027" w:rsidRDefault="00CA3DB8" w:rsidP="007912C5">
            <w:pPr>
              <w:ind w:right="-450"/>
              <w:rPr>
                <w:rFonts w:ascii="Arial" w:hAnsi="Arial"/>
                <w:b/>
                <w:szCs w:val="22"/>
              </w:rPr>
            </w:pPr>
            <w:r w:rsidRPr="001B1027">
              <w:rPr>
                <w:rFonts w:ascii="Arial" w:hAnsi="Arial"/>
                <w:b/>
                <w:szCs w:val="22"/>
              </w:rPr>
              <w:t>Employment type:</w:t>
            </w:r>
          </w:p>
        </w:tc>
        <w:tc>
          <w:tcPr>
            <w:tcW w:w="7654" w:type="dxa"/>
            <w:tcBorders>
              <w:top w:val="single" w:sz="2" w:space="0" w:color="auto"/>
              <w:left w:val="single" w:sz="2" w:space="0" w:color="auto"/>
              <w:bottom w:val="single" w:sz="4" w:space="0" w:color="auto"/>
              <w:right w:val="single" w:sz="2" w:space="0" w:color="auto"/>
            </w:tcBorders>
            <w:vAlign w:val="center"/>
          </w:tcPr>
          <w:p w14:paraId="6248FC4C" w14:textId="0F4B44F8" w:rsidR="00CA3DB8" w:rsidRPr="001B1027" w:rsidRDefault="00CA3DB8" w:rsidP="007912C5">
            <w:pPr>
              <w:tabs>
                <w:tab w:val="left" w:pos="3529"/>
              </w:tabs>
              <w:ind w:left="57" w:right="-450"/>
              <w:rPr>
                <w:rFonts w:ascii="Arial" w:hAnsi="Arial"/>
                <w:szCs w:val="22"/>
              </w:rPr>
            </w:pPr>
            <w:r w:rsidRPr="001B1027">
              <w:rPr>
                <w:rFonts w:ascii="Arial" w:hAnsi="Arial"/>
                <w:szCs w:val="22"/>
              </w:rPr>
              <w:t>Fixed Term</w:t>
            </w:r>
            <w:r w:rsidR="00AB6F68">
              <w:rPr>
                <w:rFonts w:ascii="Arial" w:hAnsi="Arial"/>
                <w:szCs w:val="22"/>
              </w:rPr>
              <w:t xml:space="preserve"> </w:t>
            </w:r>
            <w:r w:rsidR="00924B88" w:rsidRPr="00924B88">
              <w:rPr>
                <w:rFonts w:ascii="Arial" w:hAnsi="Arial"/>
                <w:szCs w:val="22"/>
              </w:rPr>
              <w:t xml:space="preserve">- Flexible </w:t>
            </w:r>
            <w:r w:rsidR="00AB6F68">
              <w:rPr>
                <w:rFonts w:ascii="Arial" w:hAnsi="Arial"/>
                <w:szCs w:val="22"/>
              </w:rPr>
              <w:t>to 1 July 2019</w:t>
            </w:r>
          </w:p>
        </w:tc>
      </w:tr>
      <w:tr w:rsidR="00CA3DB8" w:rsidRPr="001B1027" w14:paraId="6248FC50"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14:paraId="6248FC4E" w14:textId="77777777" w:rsidR="00CA3DB8" w:rsidRPr="001B1027" w:rsidRDefault="00CA3DB8" w:rsidP="007912C5">
            <w:pPr>
              <w:ind w:right="-450"/>
              <w:rPr>
                <w:rFonts w:ascii="Arial" w:hAnsi="Arial"/>
                <w:b/>
                <w:szCs w:val="22"/>
              </w:rPr>
            </w:pPr>
          </w:p>
        </w:tc>
        <w:tc>
          <w:tcPr>
            <w:tcW w:w="7654" w:type="dxa"/>
            <w:tcBorders>
              <w:top w:val="single" w:sz="4" w:space="0" w:color="auto"/>
              <w:left w:val="nil"/>
              <w:bottom w:val="single" w:sz="4" w:space="0" w:color="auto"/>
              <w:right w:val="nil"/>
            </w:tcBorders>
            <w:vAlign w:val="center"/>
          </w:tcPr>
          <w:p w14:paraId="6248FC4F" w14:textId="77777777" w:rsidR="00CA3DB8" w:rsidRPr="001B1027" w:rsidRDefault="00CA3DB8" w:rsidP="007912C5">
            <w:pPr>
              <w:ind w:left="57" w:right="-450"/>
              <w:rPr>
                <w:rFonts w:ascii="Arial" w:hAnsi="Arial"/>
                <w:szCs w:val="22"/>
              </w:rPr>
            </w:pPr>
            <w:bookmarkStart w:id="0" w:name="_GoBack"/>
            <w:bookmarkEnd w:id="0"/>
          </w:p>
        </w:tc>
      </w:tr>
      <w:tr w:rsidR="00CA3DB8" w:rsidRPr="001B1027" w14:paraId="6248FC53"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51" w14:textId="77777777" w:rsidR="00CA3DB8" w:rsidRPr="001B1027" w:rsidRDefault="00CA3DB8" w:rsidP="007912C5">
            <w:pPr>
              <w:ind w:right="-450"/>
              <w:rPr>
                <w:rFonts w:ascii="Arial" w:hAnsi="Arial"/>
                <w:b/>
                <w:szCs w:val="22"/>
              </w:rPr>
            </w:pPr>
            <w:r w:rsidRPr="001B1027">
              <w:rPr>
                <w:rFonts w:ascii="Arial" w:hAnsi="Arial"/>
                <w:b/>
                <w:szCs w:val="22"/>
              </w:rPr>
              <w:t>Group:</w:t>
            </w:r>
          </w:p>
        </w:tc>
        <w:tc>
          <w:tcPr>
            <w:tcW w:w="7654" w:type="dxa"/>
            <w:tcBorders>
              <w:top w:val="single" w:sz="2" w:space="0" w:color="auto"/>
              <w:left w:val="single" w:sz="2" w:space="0" w:color="auto"/>
              <w:bottom w:val="single" w:sz="2" w:space="0" w:color="auto"/>
              <w:right w:val="single" w:sz="2" w:space="0" w:color="auto"/>
            </w:tcBorders>
            <w:vAlign w:val="center"/>
          </w:tcPr>
          <w:p w14:paraId="6248FC52" w14:textId="08A3E80A" w:rsidR="00CA3DB8" w:rsidRPr="001B1027" w:rsidRDefault="002313E4" w:rsidP="007912C5">
            <w:pPr>
              <w:ind w:left="57" w:right="-450"/>
              <w:rPr>
                <w:rFonts w:ascii="Arial" w:hAnsi="Arial"/>
                <w:szCs w:val="22"/>
              </w:rPr>
            </w:pPr>
            <w:r>
              <w:rPr>
                <w:rFonts w:ascii="Arial" w:hAnsi="Arial"/>
                <w:szCs w:val="22"/>
              </w:rPr>
              <w:t>Water &amp; Catchments</w:t>
            </w:r>
          </w:p>
        </w:tc>
      </w:tr>
      <w:tr w:rsidR="00CA3DB8" w:rsidRPr="001B1027" w14:paraId="6248FC56"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54" w14:textId="77777777" w:rsidR="00CA3DB8" w:rsidRPr="001B1027" w:rsidRDefault="00CA3DB8" w:rsidP="007912C5">
            <w:pPr>
              <w:ind w:right="-450"/>
              <w:rPr>
                <w:rFonts w:ascii="Arial" w:hAnsi="Arial"/>
                <w:b/>
                <w:szCs w:val="22"/>
              </w:rPr>
            </w:pPr>
            <w:r w:rsidRPr="001B1027">
              <w:rPr>
                <w:rFonts w:ascii="Arial" w:hAnsi="Arial"/>
                <w:b/>
                <w:szCs w:val="22"/>
              </w:rPr>
              <w:t>Division &amp; Branch:</w:t>
            </w:r>
          </w:p>
        </w:tc>
        <w:tc>
          <w:tcPr>
            <w:tcW w:w="7654" w:type="dxa"/>
            <w:tcBorders>
              <w:top w:val="single" w:sz="2" w:space="0" w:color="auto"/>
              <w:left w:val="single" w:sz="2" w:space="0" w:color="auto"/>
              <w:bottom w:val="single" w:sz="2" w:space="0" w:color="auto"/>
              <w:right w:val="single" w:sz="2" w:space="0" w:color="auto"/>
            </w:tcBorders>
            <w:vAlign w:val="center"/>
          </w:tcPr>
          <w:p w14:paraId="6248FC55" w14:textId="538F5817" w:rsidR="00CA3DB8" w:rsidRPr="001B1027" w:rsidRDefault="00AB6F68" w:rsidP="007912C5">
            <w:pPr>
              <w:ind w:left="57" w:right="-450"/>
              <w:rPr>
                <w:rFonts w:ascii="Arial" w:hAnsi="Arial"/>
                <w:szCs w:val="22"/>
              </w:rPr>
            </w:pPr>
            <w:r w:rsidRPr="00AB6F68">
              <w:rPr>
                <w:rFonts w:ascii="Arial" w:hAnsi="Arial"/>
                <w:szCs w:val="22"/>
              </w:rPr>
              <w:t xml:space="preserve">Partnerships and </w:t>
            </w:r>
            <w:r>
              <w:rPr>
                <w:rFonts w:ascii="Arial" w:hAnsi="Arial"/>
                <w:szCs w:val="22"/>
              </w:rPr>
              <w:t>Sector Performance</w:t>
            </w:r>
            <w:r w:rsidR="00924B88">
              <w:rPr>
                <w:rFonts w:ascii="Arial" w:hAnsi="Arial"/>
                <w:szCs w:val="22"/>
              </w:rPr>
              <w:t xml:space="preserve"> Division / </w:t>
            </w:r>
            <w:r w:rsidR="002313E4">
              <w:rPr>
                <w:rFonts w:ascii="Arial" w:hAnsi="Arial"/>
                <w:szCs w:val="22"/>
              </w:rPr>
              <w:t>Policy Partnerships</w:t>
            </w:r>
          </w:p>
        </w:tc>
      </w:tr>
      <w:tr w:rsidR="00CA3DB8" w:rsidRPr="001B1027" w14:paraId="6248FC59"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57" w14:textId="77777777" w:rsidR="00CA3DB8" w:rsidRPr="001B1027" w:rsidRDefault="00CA3DB8" w:rsidP="007912C5">
            <w:pPr>
              <w:ind w:right="-450"/>
              <w:rPr>
                <w:rFonts w:ascii="Arial" w:hAnsi="Arial"/>
                <w:b/>
                <w:szCs w:val="22"/>
              </w:rPr>
            </w:pPr>
            <w:r w:rsidRPr="001B1027">
              <w:rPr>
                <w:rFonts w:ascii="Arial" w:hAnsi="Arial"/>
                <w:b/>
                <w:szCs w:val="22"/>
              </w:rPr>
              <w:t>Work location:</w:t>
            </w:r>
          </w:p>
        </w:tc>
        <w:tc>
          <w:tcPr>
            <w:tcW w:w="7654" w:type="dxa"/>
            <w:tcBorders>
              <w:top w:val="single" w:sz="2" w:space="0" w:color="auto"/>
              <w:left w:val="single" w:sz="2" w:space="0" w:color="auto"/>
              <w:bottom w:val="single" w:sz="2" w:space="0" w:color="auto"/>
              <w:right w:val="single" w:sz="2" w:space="0" w:color="auto"/>
            </w:tcBorders>
            <w:vAlign w:val="center"/>
          </w:tcPr>
          <w:p w14:paraId="6248FC58" w14:textId="370DD862" w:rsidR="00CA3DB8" w:rsidRPr="001B1027" w:rsidRDefault="00AB6F68" w:rsidP="007912C5">
            <w:pPr>
              <w:ind w:left="57" w:right="-450"/>
              <w:rPr>
                <w:rFonts w:ascii="Arial" w:hAnsi="Arial"/>
                <w:szCs w:val="22"/>
              </w:rPr>
            </w:pPr>
            <w:r>
              <w:rPr>
                <w:rFonts w:ascii="Arial" w:hAnsi="Arial"/>
                <w:szCs w:val="22"/>
              </w:rPr>
              <w:t>8 Nicholson St, East Melbourne</w:t>
            </w:r>
          </w:p>
        </w:tc>
      </w:tr>
      <w:tr w:rsidR="00CA3DB8" w:rsidRPr="001B1027" w14:paraId="6248FC5C"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14:paraId="6248FC5A" w14:textId="77777777" w:rsidR="00CA3DB8" w:rsidRPr="001B1027" w:rsidRDefault="00CA3DB8" w:rsidP="007912C5">
            <w:pPr>
              <w:ind w:right="-450"/>
              <w:rPr>
                <w:rFonts w:ascii="Arial" w:hAnsi="Arial"/>
                <w:b/>
                <w:szCs w:val="22"/>
              </w:rPr>
            </w:pPr>
          </w:p>
        </w:tc>
        <w:tc>
          <w:tcPr>
            <w:tcW w:w="7654" w:type="dxa"/>
            <w:tcBorders>
              <w:top w:val="single" w:sz="2" w:space="0" w:color="auto"/>
              <w:left w:val="nil"/>
              <w:bottom w:val="single" w:sz="2" w:space="0" w:color="auto"/>
              <w:right w:val="nil"/>
            </w:tcBorders>
            <w:vAlign w:val="center"/>
          </w:tcPr>
          <w:p w14:paraId="6248FC5B" w14:textId="77777777" w:rsidR="00CA3DB8" w:rsidRPr="001B1027" w:rsidRDefault="00CA3DB8" w:rsidP="007912C5">
            <w:pPr>
              <w:ind w:left="57" w:right="-450"/>
              <w:rPr>
                <w:rFonts w:ascii="Arial" w:hAnsi="Arial"/>
                <w:szCs w:val="22"/>
              </w:rPr>
            </w:pPr>
          </w:p>
        </w:tc>
      </w:tr>
      <w:tr w:rsidR="00CA3DB8" w:rsidRPr="001B1027" w14:paraId="6248FC5F"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5D" w14:textId="77777777" w:rsidR="00CA3DB8" w:rsidRPr="001B1027" w:rsidRDefault="00CA3DB8" w:rsidP="007912C5">
            <w:pPr>
              <w:ind w:right="-450"/>
              <w:rPr>
                <w:rFonts w:ascii="Arial" w:hAnsi="Arial"/>
                <w:b/>
                <w:bCs/>
                <w:spacing w:val="-3"/>
                <w:szCs w:val="22"/>
              </w:rPr>
            </w:pPr>
            <w:r w:rsidRPr="001B1027">
              <w:rPr>
                <w:rFonts w:ascii="Arial" w:hAnsi="Arial"/>
                <w:b/>
                <w:bCs/>
                <w:spacing w:val="-3"/>
                <w:szCs w:val="22"/>
              </w:rPr>
              <w:t>Reports to:</w:t>
            </w:r>
          </w:p>
        </w:tc>
        <w:tc>
          <w:tcPr>
            <w:tcW w:w="7654" w:type="dxa"/>
            <w:tcBorders>
              <w:top w:val="single" w:sz="2" w:space="0" w:color="auto"/>
              <w:left w:val="single" w:sz="2" w:space="0" w:color="auto"/>
              <w:bottom w:val="single" w:sz="2" w:space="0" w:color="auto"/>
              <w:right w:val="single" w:sz="2" w:space="0" w:color="auto"/>
            </w:tcBorders>
            <w:vAlign w:val="center"/>
          </w:tcPr>
          <w:p w14:paraId="6248FC5E" w14:textId="792B2F9D" w:rsidR="00CA3DB8" w:rsidRPr="001B1027" w:rsidRDefault="00CE6C9A" w:rsidP="00AB6F68">
            <w:pPr>
              <w:tabs>
                <w:tab w:val="left" w:pos="469"/>
                <w:tab w:val="left" w:pos="1189"/>
              </w:tabs>
              <w:ind w:left="57" w:right="-450"/>
              <w:rPr>
                <w:rFonts w:ascii="Arial" w:hAnsi="Arial"/>
                <w:szCs w:val="22"/>
              </w:rPr>
            </w:pPr>
            <w:r>
              <w:rPr>
                <w:rFonts w:ascii="Arial" w:hAnsi="Arial"/>
                <w:szCs w:val="22"/>
              </w:rPr>
              <w:t>Michael O’Neill</w:t>
            </w:r>
            <w:r w:rsidR="00AB6F68" w:rsidRPr="00AB6F68">
              <w:rPr>
                <w:rFonts w:ascii="Arial" w:hAnsi="Arial"/>
                <w:szCs w:val="22"/>
              </w:rPr>
              <w:t xml:space="preserve">, </w:t>
            </w:r>
            <w:r>
              <w:rPr>
                <w:rFonts w:ascii="Arial" w:hAnsi="Arial"/>
                <w:szCs w:val="22"/>
              </w:rPr>
              <w:t xml:space="preserve">Acting </w:t>
            </w:r>
            <w:r w:rsidR="00AB6F68" w:rsidRPr="00AB6F68">
              <w:rPr>
                <w:rFonts w:ascii="Arial" w:hAnsi="Arial"/>
                <w:szCs w:val="22"/>
              </w:rPr>
              <w:t xml:space="preserve">Senior Manager Water Resource Plans, </w:t>
            </w:r>
            <w:r w:rsidR="00AB6F68">
              <w:rPr>
                <w:rFonts w:ascii="Arial" w:hAnsi="Arial"/>
                <w:szCs w:val="22"/>
              </w:rPr>
              <w:t>Murray-Darling Basin Plan</w:t>
            </w:r>
            <w:r w:rsidR="00CA3DB8" w:rsidRPr="001B1027">
              <w:rPr>
                <w:rFonts w:ascii="Arial" w:hAnsi="Arial"/>
                <w:szCs w:val="22"/>
              </w:rPr>
              <w:tab/>
            </w:r>
          </w:p>
        </w:tc>
      </w:tr>
      <w:tr w:rsidR="00CA3DB8" w:rsidRPr="001B1027" w14:paraId="6248FC62"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60" w14:textId="77777777" w:rsidR="00CA3DB8" w:rsidRPr="001B1027" w:rsidRDefault="00CA3DB8" w:rsidP="007912C5">
            <w:pPr>
              <w:ind w:right="-450"/>
              <w:rPr>
                <w:rFonts w:ascii="Arial" w:hAnsi="Arial"/>
                <w:b/>
                <w:bCs/>
                <w:spacing w:val="-3"/>
                <w:szCs w:val="22"/>
              </w:rPr>
            </w:pPr>
            <w:r w:rsidRPr="001B1027">
              <w:rPr>
                <w:rFonts w:ascii="Arial" w:hAnsi="Arial"/>
                <w:b/>
                <w:bCs/>
                <w:spacing w:val="-3"/>
                <w:szCs w:val="22"/>
              </w:rPr>
              <w:t>Direct reports:</w:t>
            </w:r>
          </w:p>
        </w:tc>
        <w:tc>
          <w:tcPr>
            <w:tcW w:w="7654" w:type="dxa"/>
            <w:tcBorders>
              <w:top w:val="single" w:sz="2" w:space="0" w:color="auto"/>
              <w:left w:val="single" w:sz="2" w:space="0" w:color="auto"/>
              <w:bottom w:val="single" w:sz="2" w:space="0" w:color="auto"/>
              <w:right w:val="single" w:sz="2" w:space="0" w:color="auto"/>
            </w:tcBorders>
            <w:vAlign w:val="center"/>
          </w:tcPr>
          <w:p w14:paraId="6248FC61" w14:textId="592C9EE4" w:rsidR="00CA3DB8" w:rsidRPr="001B1027" w:rsidRDefault="00CA3DB8" w:rsidP="007912C5">
            <w:pPr>
              <w:tabs>
                <w:tab w:val="left" w:pos="469"/>
                <w:tab w:val="left" w:pos="1189"/>
              </w:tabs>
              <w:ind w:left="57" w:right="-450"/>
              <w:rPr>
                <w:rFonts w:ascii="Arial" w:hAnsi="Arial"/>
                <w:szCs w:val="22"/>
              </w:rPr>
            </w:pPr>
            <w:r w:rsidRPr="001B1027">
              <w:rPr>
                <w:rFonts w:ascii="Arial" w:hAnsi="Arial"/>
                <w:szCs w:val="22"/>
              </w:rPr>
              <w:fldChar w:fldCharType="begin">
                <w:ffData>
                  <w:name w:val=""/>
                  <w:enabled/>
                  <w:calcOnExit w:val="0"/>
                  <w:checkBox>
                    <w:size w:val="26"/>
                    <w:default w:val="0"/>
                    <w:checked w:val="0"/>
                  </w:checkBox>
                </w:ffData>
              </w:fldChar>
            </w:r>
            <w:r w:rsidRPr="001B1027">
              <w:rPr>
                <w:rFonts w:ascii="Arial" w:hAnsi="Arial"/>
                <w:szCs w:val="22"/>
              </w:rPr>
              <w:instrText xml:space="preserve"> FORMCHECKBOX </w:instrText>
            </w:r>
            <w:r w:rsidR="00CC084A">
              <w:rPr>
                <w:rFonts w:ascii="Arial" w:hAnsi="Arial"/>
                <w:szCs w:val="22"/>
              </w:rPr>
            </w:r>
            <w:r w:rsidR="00CC084A">
              <w:rPr>
                <w:rFonts w:ascii="Arial" w:hAnsi="Arial"/>
                <w:szCs w:val="22"/>
              </w:rPr>
              <w:fldChar w:fldCharType="separate"/>
            </w:r>
            <w:r w:rsidRPr="001B1027">
              <w:rPr>
                <w:rFonts w:ascii="Arial" w:hAnsi="Arial"/>
                <w:szCs w:val="22"/>
              </w:rPr>
              <w:fldChar w:fldCharType="end"/>
            </w:r>
            <w:r w:rsidRPr="001B1027">
              <w:rPr>
                <w:rFonts w:ascii="Arial" w:hAnsi="Arial"/>
                <w:szCs w:val="22"/>
              </w:rPr>
              <w:tab/>
              <w:t>Yes</w:t>
            </w:r>
            <w:r w:rsidRPr="001B1027">
              <w:rPr>
                <w:rFonts w:ascii="Arial" w:hAnsi="Arial"/>
                <w:szCs w:val="22"/>
              </w:rPr>
              <w:tab/>
            </w:r>
            <w:r w:rsidR="000F6C4E">
              <w:rPr>
                <w:rFonts w:ascii="Arial" w:hAnsi="Arial"/>
                <w:szCs w:val="22"/>
              </w:rPr>
              <w:fldChar w:fldCharType="begin">
                <w:ffData>
                  <w:name w:val=""/>
                  <w:enabled/>
                  <w:calcOnExit w:val="0"/>
                  <w:checkBox>
                    <w:size w:val="26"/>
                    <w:default w:val="1"/>
                  </w:checkBox>
                </w:ffData>
              </w:fldChar>
            </w:r>
            <w:r w:rsidR="000F6C4E">
              <w:rPr>
                <w:rFonts w:ascii="Arial" w:hAnsi="Arial"/>
                <w:szCs w:val="22"/>
              </w:rPr>
              <w:instrText xml:space="preserve"> FORMCHECKBOX </w:instrText>
            </w:r>
            <w:r w:rsidR="00CC084A">
              <w:rPr>
                <w:rFonts w:ascii="Arial" w:hAnsi="Arial"/>
                <w:szCs w:val="22"/>
              </w:rPr>
            </w:r>
            <w:r w:rsidR="00CC084A">
              <w:rPr>
                <w:rFonts w:ascii="Arial" w:hAnsi="Arial"/>
                <w:szCs w:val="22"/>
              </w:rPr>
              <w:fldChar w:fldCharType="separate"/>
            </w:r>
            <w:r w:rsidR="000F6C4E">
              <w:rPr>
                <w:rFonts w:ascii="Arial" w:hAnsi="Arial"/>
                <w:szCs w:val="22"/>
              </w:rPr>
              <w:fldChar w:fldCharType="end"/>
            </w:r>
            <w:r w:rsidRPr="001B1027">
              <w:rPr>
                <w:rFonts w:ascii="Arial" w:hAnsi="Arial"/>
                <w:szCs w:val="22"/>
              </w:rPr>
              <w:t xml:space="preserve">  No                If yes, how many?</w:t>
            </w:r>
          </w:p>
        </w:tc>
      </w:tr>
      <w:tr w:rsidR="00CA3DB8" w:rsidRPr="001B1027" w14:paraId="6248FC65"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14:paraId="6248FC63" w14:textId="77777777" w:rsidR="00CA3DB8" w:rsidRPr="001B1027" w:rsidRDefault="00CA3DB8" w:rsidP="007912C5">
            <w:pPr>
              <w:ind w:right="-450"/>
              <w:rPr>
                <w:rFonts w:ascii="Arial" w:hAnsi="Arial"/>
                <w:b/>
                <w:szCs w:val="22"/>
              </w:rPr>
            </w:pPr>
          </w:p>
        </w:tc>
        <w:tc>
          <w:tcPr>
            <w:tcW w:w="7654" w:type="dxa"/>
            <w:tcBorders>
              <w:top w:val="single" w:sz="2" w:space="0" w:color="auto"/>
              <w:left w:val="nil"/>
              <w:bottom w:val="single" w:sz="2" w:space="0" w:color="auto"/>
              <w:right w:val="nil"/>
            </w:tcBorders>
            <w:vAlign w:val="center"/>
          </w:tcPr>
          <w:p w14:paraId="6248FC64" w14:textId="77777777" w:rsidR="00CA3DB8" w:rsidRPr="001B1027" w:rsidRDefault="00CA3DB8" w:rsidP="007912C5">
            <w:pPr>
              <w:ind w:left="57" w:right="-450"/>
              <w:rPr>
                <w:rFonts w:ascii="Arial" w:hAnsi="Arial"/>
                <w:szCs w:val="22"/>
              </w:rPr>
            </w:pPr>
          </w:p>
        </w:tc>
      </w:tr>
      <w:tr w:rsidR="00CA3DB8" w:rsidRPr="001B1027" w14:paraId="6248FC68" w14:textId="7777777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14:paraId="6248FC66" w14:textId="77777777" w:rsidR="00CA3DB8" w:rsidRPr="001B1027" w:rsidRDefault="00CA3DB8" w:rsidP="007912C5">
            <w:pPr>
              <w:ind w:right="-450"/>
              <w:rPr>
                <w:rFonts w:ascii="Arial" w:hAnsi="Arial"/>
                <w:b/>
                <w:szCs w:val="22"/>
              </w:rPr>
            </w:pPr>
            <w:r w:rsidRPr="001B1027">
              <w:rPr>
                <w:rFonts w:ascii="Arial" w:hAnsi="Arial"/>
                <w:b/>
                <w:szCs w:val="22"/>
              </w:rPr>
              <w:t>Further information:</w:t>
            </w:r>
          </w:p>
        </w:tc>
        <w:tc>
          <w:tcPr>
            <w:tcW w:w="7654" w:type="dxa"/>
            <w:tcBorders>
              <w:top w:val="single" w:sz="2" w:space="0" w:color="auto"/>
              <w:left w:val="single" w:sz="2" w:space="0" w:color="auto"/>
              <w:bottom w:val="single" w:sz="2" w:space="0" w:color="auto"/>
              <w:right w:val="single" w:sz="2" w:space="0" w:color="auto"/>
            </w:tcBorders>
            <w:vAlign w:val="center"/>
          </w:tcPr>
          <w:p w14:paraId="6248FC67" w14:textId="122B54F9" w:rsidR="00CA3DB8" w:rsidRPr="001B1027" w:rsidRDefault="00CE6C9A" w:rsidP="007912C5">
            <w:pPr>
              <w:ind w:left="57" w:right="-450"/>
              <w:rPr>
                <w:rFonts w:ascii="Arial" w:hAnsi="Arial"/>
                <w:szCs w:val="22"/>
              </w:rPr>
            </w:pPr>
            <w:r>
              <w:rPr>
                <w:rFonts w:ascii="Arial" w:hAnsi="Arial"/>
                <w:szCs w:val="22"/>
              </w:rPr>
              <w:t>Michael O’Neill</w:t>
            </w:r>
            <w:r w:rsidR="00AB6F68" w:rsidRPr="00AB6F68">
              <w:rPr>
                <w:rFonts w:ascii="Arial" w:hAnsi="Arial"/>
                <w:szCs w:val="22"/>
              </w:rPr>
              <w:t>, (03) 9637 9</w:t>
            </w:r>
            <w:r>
              <w:rPr>
                <w:rFonts w:ascii="Arial" w:hAnsi="Arial"/>
                <w:szCs w:val="22"/>
              </w:rPr>
              <w:t>985</w:t>
            </w:r>
          </w:p>
        </w:tc>
      </w:tr>
    </w:tbl>
    <w:p w14:paraId="6248FC69" w14:textId="77777777" w:rsidR="00CA3DB8" w:rsidRPr="001B1027" w:rsidRDefault="00CA3DB8" w:rsidP="00CA3DB8">
      <w:pPr>
        <w:pStyle w:val="DTPLIheadingtopcolumngreen"/>
        <w:rPr>
          <w:rFonts w:ascii="Arial" w:hAnsi="Arial" w:cs="Arial"/>
          <w:sz w:val="22"/>
          <w:szCs w:val="22"/>
        </w:rPr>
      </w:pPr>
    </w:p>
    <w:p w14:paraId="6248FC6A" w14:textId="77777777" w:rsidR="00CA3DB8" w:rsidRPr="001B1027" w:rsidRDefault="00CA3DB8" w:rsidP="00CA3DB8">
      <w:pPr>
        <w:pStyle w:val="DTPLIheadinggreen"/>
        <w:spacing w:before="12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About the Department</w:t>
      </w:r>
    </w:p>
    <w:p w14:paraId="6248FC6B" w14:textId="77777777" w:rsidR="00CA3DB8" w:rsidRPr="001B1027" w:rsidRDefault="00CA3DB8" w:rsidP="00CA3DB8">
      <w:pPr>
        <w:autoSpaceDE w:val="0"/>
        <w:autoSpaceDN w:val="0"/>
        <w:adjustRightInd w:val="0"/>
        <w:spacing w:after="120"/>
        <w:rPr>
          <w:rFonts w:ascii="Arial" w:hAnsi="Arial"/>
          <w:color w:val="000000"/>
          <w:szCs w:val="22"/>
        </w:rPr>
      </w:pPr>
      <w:r w:rsidRPr="001B1027">
        <w:rPr>
          <w:rFonts w:ascii="Arial" w:hAnsi="Arial"/>
          <w:color w:val="000000"/>
          <w:szCs w:val="22"/>
        </w:rPr>
        <w:t>The Department is tasked with ensuring that Victoria has the right conditions to enable economic growth, while delivering liveable, inclusive and sustainable communities.</w:t>
      </w:r>
    </w:p>
    <w:p w14:paraId="6248FC6C" w14:textId="77777777" w:rsidR="00CA3DB8" w:rsidRPr="001B1027" w:rsidRDefault="00CA3DB8" w:rsidP="00CA3DB8">
      <w:pPr>
        <w:autoSpaceDE w:val="0"/>
        <w:autoSpaceDN w:val="0"/>
        <w:adjustRightInd w:val="0"/>
        <w:spacing w:after="120"/>
        <w:rPr>
          <w:rFonts w:ascii="Arial" w:hAnsi="Arial"/>
          <w:color w:val="000000"/>
          <w:szCs w:val="22"/>
        </w:rPr>
      </w:pPr>
      <w:r w:rsidRPr="001B1027">
        <w:rPr>
          <w:rFonts w:ascii="Arial" w:hAnsi="Arial"/>
          <w:color w:val="000000"/>
          <w:szCs w:val="22"/>
        </w:rPr>
        <w:t>We bring together planning, local government and infrastructure, environment, climate change, energy and water functions, to ensure an integrated approach to the development of long-term State and regional strategies that build on social, environmental and economic opportunities to provide for future population growth and change.</w:t>
      </w:r>
    </w:p>
    <w:p w14:paraId="6248FC6D" w14:textId="3CBB89DF" w:rsidR="00CA3DB8" w:rsidRPr="001B1027" w:rsidRDefault="00CA3DB8" w:rsidP="00CA3DB8">
      <w:pPr>
        <w:autoSpaceDE w:val="0"/>
        <w:autoSpaceDN w:val="0"/>
        <w:adjustRightInd w:val="0"/>
        <w:spacing w:after="120"/>
        <w:rPr>
          <w:rFonts w:ascii="Arial" w:hAnsi="Arial"/>
          <w:color w:val="000000"/>
          <w:szCs w:val="22"/>
        </w:rPr>
      </w:pPr>
      <w:r w:rsidRPr="001B1027">
        <w:rPr>
          <w:rFonts w:ascii="Arial" w:hAnsi="Arial"/>
          <w:color w:val="000000"/>
          <w:szCs w:val="22"/>
        </w:rPr>
        <w:t>We build community resilience by adopting an all-hazards, all-</w:t>
      </w:r>
      <w:r w:rsidR="00277483">
        <w:rPr>
          <w:rFonts w:ascii="Arial" w:hAnsi="Arial"/>
          <w:color w:val="000000"/>
          <w:szCs w:val="22"/>
        </w:rPr>
        <w:t>emergencies</w:t>
      </w:r>
      <w:r w:rsidRPr="001B1027">
        <w:rPr>
          <w:rFonts w:ascii="Arial" w:hAnsi="Arial"/>
          <w:color w:val="000000"/>
          <w:szCs w:val="22"/>
        </w:rPr>
        <w:t xml:space="preserve"> approach across our built and natural environments to improve protection against natural disasters and other emergencies. </w:t>
      </w:r>
    </w:p>
    <w:p w14:paraId="6248FC6E" w14:textId="77777777" w:rsidR="00CA3DB8" w:rsidRPr="001B1027" w:rsidRDefault="00CA3DB8" w:rsidP="00CA3DB8">
      <w:pPr>
        <w:autoSpaceDE w:val="0"/>
        <w:autoSpaceDN w:val="0"/>
        <w:adjustRightInd w:val="0"/>
        <w:rPr>
          <w:rFonts w:ascii="Arial" w:hAnsi="Arial"/>
          <w:color w:val="000000"/>
          <w:szCs w:val="22"/>
        </w:rPr>
      </w:pPr>
      <w:r w:rsidRPr="001B1027">
        <w:rPr>
          <w:rFonts w:ascii="Arial" w:hAnsi="Arial"/>
          <w:color w:val="000000"/>
          <w:szCs w:val="22"/>
        </w:rPr>
        <w:lastRenderedPageBreak/>
        <w:t>For further information about the department, please visit our website www.delwp.vic.gov.au</w:t>
      </w:r>
    </w:p>
    <w:p w14:paraId="6248FC6F" w14:textId="77777777" w:rsidR="00CA3DB8" w:rsidRPr="001B1027" w:rsidRDefault="00CA3DB8" w:rsidP="00CA3DB8">
      <w:pPr>
        <w:spacing w:before="200"/>
        <w:ind w:right="-450"/>
        <w:rPr>
          <w:rFonts w:ascii="Arial" w:hAnsi="Arial"/>
          <w:b/>
          <w:szCs w:val="22"/>
        </w:rPr>
      </w:pPr>
      <w:r w:rsidRPr="001B1027">
        <w:rPr>
          <w:rFonts w:ascii="Arial" w:hAnsi="Arial"/>
          <w:b/>
          <w:szCs w:val="22"/>
        </w:rPr>
        <w:t>Context</w:t>
      </w:r>
    </w:p>
    <w:p w14:paraId="6248FC70" w14:textId="7054AE1C" w:rsidR="00CA3DB8" w:rsidRDefault="00AB6F68" w:rsidP="00CA3DB8">
      <w:pPr>
        <w:spacing w:before="160"/>
        <w:rPr>
          <w:rFonts w:ascii="Arial" w:hAnsi="Arial"/>
          <w:i/>
          <w:color w:val="000000"/>
          <w:szCs w:val="22"/>
        </w:rPr>
      </w:pPr>
      <w:r>
        <w:rPr>
          <w:rFonts w:ascii="Arial" w:hAnsi="Arial"/>
          <w:i/>
          <w:color w:val="000000"/>
          <w:szCs w:val="22"/>
        </w:rPr>
        <w:t>Water and Catchments Group</w:t>
      </w:r>
    </w:p>
    <w:p w14:paraId="6248FC71" w14:textId="31EEFFB4" w:rsidR="00CA3DB8" w:rsidRPr="001B1027" w:rsidRDefault="00AB6F68" w:rsidP="00CA3DB8">
      <w:pPr>
        <w:rPr>
          <w:rFonts w:ascii="Arial" w:hAnsi="Arial"/>
          <w:color w:val="000000"/>
          <w:szCs w:val="22"/>
        </w:rPr>
      </w:pPr>
      <w:r w:rsidRPr="00AB6F68">
        <w:rPr>
          <w:rFonts w:ascii="Arial" w:hAnsi="Arial"/>
          <w:color w:val="000000"/>
          <w:szCs w:val="22"/>
        </w:rPr>
        <w:t xml:space="preserve">Water and Catchments Group (WCG) works across DELWP, with agencies, Ministers, stakeholders and the community to balance the economic, environmental and social values of water. This work helps deliver secure water supplies, greener and more liveable cities and towns, and healthy waterways and aquifers. </w:t>
      </w:r>
      <w:r w:rsidR="00CA3DB8" w:rsidRPr="001B1027">
        <w:rPr>
          <w:rFonts w:ascii="Arial" w:hAnsi="Arial"/>
          <w:color w:val="000000"/>
          <w:szCs w:val="22"/>
        </w:rPr>
        <w:t xml:space="preserve"> </w:t>
      </w:r>
    </w:p>
    <w:p w14:paraId="6248FC72" w14:textId="5659C87D" w:rsidR="00CA3DB8" w:rsidRPr="001B1027" w:rsidRDefault="000F6C4E" w:rsidP="00CA3DB8">
      <w:pPr>
        <w:spacing w:before="160"/>
        <w:rPr>
          <w:rFonts w:ascii="Arial" w:hAnsi="Arial"/>
          <w:i/>
          <w:color w:val="000000"/>
          <w:szCs w:val="22"/>
        </w:rPr>
      </w:pPr>
      <w:r>
        <w:rPr>
          <w:rFonts w:ascii="Arial" w:hAnsi="Arial"/>
          <w:i/>
          <w:color w:val="000000"/>
          <w:szCs w:val="22"/>
        </w:rPr>
        <w:t>Policy Partnerships</w:t>
      </w:r>
    </w:p>
    <w:p w14:paraId="61A7408B" w14:textId="77777777" w:rsidR="007148E9" w:rsidRDefault="007148E9" w:rsidP="00CA3DB8">
      <w:pPr>
        <w:pStyle w:val="DTPLIheadinggreen"/>
        <w:spacing w:before="120"/>
        <w:ind w:right="0"/>
        <w:rPr>
          <w:rFonts w:ascii="Arial" w:hAnsi="Arial"/>
          <w:color w:val="000000"/>
          <w:sz w:val="20"/>
          <w:szCs w:val="22"/>
        </w:rPr>
      </w:pPr>
      <w:r w:rsidRPr="007148E9">
        <w:rPr>
          <w:rFonts w:ascii="Arial" w:hAnsi="Arial"/>
          <w:color w:val="000000"/>
          <w:sz w:val="20"/>
          <w:szCs w:val="22"/>
        </w:rPr>
        <w:t xml:space="preserve">The Policy Partnerships Branch works across the WCG, water industry, local government, DELWP portfolios and whole of government to deliver on WCG commitments.  The branch is a central point for collaboration across WCG on long term strategic directions of the water sector via actions such as the Sustainable Water Strategies function, Basin Plan Water Resource Plans and the Economic team’s advice on pricing and economic regulation matters.  </w:t>
      </w:r>
    </w:p>
    <w:p w14:paraId="6248FC74" w14:textId="73F38E4E"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Accountabilities</w:t>
      </w:r>
    </w:p>
    <w:p w14:paraId="099F71E4" w14:textId="77777777" w:rsidR="00284D3B" w:rsidRPr="00284D3B" w:rsidRDefault="00284D3B" w:rsidP="00284D3B">
      <w:pPr>
        <w:numPr>
          <w:ilvl w:val="0"/>
          <w:numId w:val="43"/>
        </w:numPr>
        <w:spacing w:line="240" w:lineRule="auto"/>
        <w:rPr>
          <w:rFonts w:ascii="Arial" w:hAnsi="Arial"/>
          <w:szCs w:val="22"/>
        </w:rPr>
      </w:pPr>
      <w:r w:rsidRPr="00284D3B">
        <w:rPr>
          <w:rFonts w:ascii="Arial" w:hAnsi="Arial"/>
          <w:szCs w:val="22"/>
        </w:rPr>
        <w:t xml:space="preserve">Lead stakeholder engagement for the development of Victoria’s WRPs. </w:t>
      </w:r>
    </w:p>
    <w:p w14:paraId="44E0F964" w14:textId="4941C32F" w:rsidR="00284D3B" w:rsidRPr="00284D3B" w:rsidRDefault="00284D3B" w:rsidP="00284D3B">
      <w:pPr>
        <w:numPr>
          <w:ilvl w:val="0"/>
          <w:numId w:val="43"/>
        </w:numPr>
        <w:spacing w:line="240" w:lineRule="auto"/>
        <w:rPr>
          <w:rFonts w:ascii="Arial" w:hAnsi="Arial"/>
          <w:szCs w:val="22"/>
        </w:rPr>
      </w:pPr>
      <w:r>
        <w:rPr>
          <w:rFonts w:ascii="Arial" w:hAnsi="Arial"/>
          <w:szCs w:val="22"/>
        </w:rPr>
        <w:t>E</w:t>
      </w:r>
      <w:r w:rsidRPr="00284D3B">
        <w:rPr>
          <w:rFonts w:ascii="Arial" w:hAnsi="Arial"/>
          <w:szCs w:val="22"/>
        </w:rPr>
        <w:t xml:space="preserve">nsure </w:t>
      </w:r>
      <w:r w:rsidR="007148E9">
        <w:rPr>
          <w:rFonts w:ascii="Arial" w:hAnsi="Arial"/>
          <w:szCs w:val="22"/>
        </w:rPr>
        <w:t>that appropriate</w:t>
      </w:r>
      <w:r w:rsidRPr="00284D3B">
        <w:rPr>
          <w:rFonts w:ascii="Arial" w:hAnsi="Arial"/>
          <w:szCs w:val="22"/>
        </w:rPr>
        <w:t xml:space="preserve"> people are involved in various conversations throughout the WRP development process and that engagement with various agencies is streamlined where possible. </w:t>
      </w:r>
    </w:p>
    <w:p w14:paraId="05CC48B3" w14:textId="01751C9A" w:rsidR="00284D3B" w:rsidRPr="00284D3B" w:rsidRDefault="00284D3B" w:rsidP="00284D3B">
      <w:pPr>
        <w:numPr>
          <w:ilvl w:val="0"/>
          <w:numId w:val="43"/>
        </w:numPr>
        <w:spacing w:line="240" w:lineRule="auto"/>
        <w:rPr>
          <w:rFonts w:ascii="Arial" w:hAnsi="Arial"/>
          <w:szCs w:val="22"/>
        </w:rPr>
      </w:pPr>
      <w:r>
        <w:rPr>
          <w:rFonts w:ascii="Arial" w:hAnsi="Arial"/>
          <w:szCs w:val="22"/>
        </w:rPr>
        <w:t>Be the interface between the I</w:t>
      </w:r>
      <w:r w:rsidRPr="00284D3B">
        <w:rPr>
          <w:rFonts w:ascii="Arial" w:hAnsi="Arial"/>
          <w:szCs w:val="22"/>
        </w:rPr>
        <w:t xml:space="preserve">ndigenous engagement aspects and the broader stakeholder engagement program for WRPs. </w:t>
      </w:r>
    </w:p>
    <w:p w14:paraId="090DA690" w14:textId="107DC24B" w:rsidR="00284D3B" w:rsidRPr="00284D3B" w:rsidRDefault="00284D3B" w:rsidP="00284D3B">
      <w:pPr>
        <w:numPr>
          <w:ilvl w:val="0"/>
          <w:numId w:val="43"/>
        </w:numPr>
        <w:spacing w:line="240" w:lineRule="auto"/>
        <w:rPr>
          <w:rFonts w:ascii="Arial" w:hAnsi="Arial"/>
          <w:szCs w:val="22"/>
        </w:rPr>
      </w:pPr>
      <w:r>
        <w:rPr>
          <w:rFonts w:ascii="Arial" w:hAnsi="Arial"/>
          <w:szCs w:val="22"/>
        </w:rPr>
        <w:t>A</w:t>
      </w:r>
      <w:r w:rsidRPr="00284D3B">
        <w:rPr>
          <w:rFonts w:ascii="Arial" w:hAnsi="Arial"/>
          <w:szCs w:val="22"/>
        </w:rPr>
        <w:t xml:space="preserve">ssist in the preparation of communication materials and public documents as required during the development of WRPs. </w:t>
      </w:r>
    </w:p>
    <w:p w14:paraId="6BBBAA3E" w14:textId="77777777" w:rsidR="00284D3B" w:rsidRPr="00284D3B" w:rsidRDefault="00284D3B" w:rsidP="00284D3B">
      <w:pPr>
        <w:numPr>
          <w:ilvl w:val="0"/>
          <w:numId w:val="43"/>
        </w:numPr>
        <w:spacing w:line="240" w:lineRule="auto"/>
        <w:rPr>
          <w:rFonts w:ascii="Arial" w:hAnsi="Arial"/>
          <w:szCs w:val="22"/>
        </w:rPr>
      </w:pPr>
      <w:r w:rsidRPr="00284D3B">
        <w:rPr>
          <w:rFonts w:ascii="Arial" w:hAnsi="Arial"/>
          <w:szCs w:val="22"/>
        </w:rPr>
        <w:t>Contribute to the development of the Northern Victoria WRP, required for two surface water and one groundwater WRP areas, to support Victoria's implementation of the Murray-Darling Basin Plan.</w:t>
      </w:r>
    </w:p>
    <w:p w14:paraId="368036B4" w14:textId="772E4F4A" w:rsidR="00284D3B" w:rsidRPr="00284D3B" w:rsidRDefault="00284D3B" w:rsidP="00382C2F">
      <w:pPr>
        <w:numPr>
          <w:ilvl w:val="0"/>
          <w:numId w:val="43"/>
        </w:numPr>
        <w:spacing w:line="240" w:lineRule="auto"/>
        <w:rPr>
          <w:rFonts w:ascii="Arial" w:hAnsi="Arial"/>
          <w:szCs w:val="22"/>
        </w:rPr>
      </w:pPr>
      <w:r w:rsidRPr="00284D3B">
        <w:rPr>
          <w:rFonts w:ascii="Arial" w:hAnsi="Arial"/>
          <w:szCs w:val="22"/>
        </w:rPr>
        <w:t>Support and advise senior executives on matters relating to the WRP stakeholder engagement process and relevant issues as they arise.</w:t>
      </w:r>
    </w:p>
    <w:p w14:paraId="6248FC7C" w14:textId="77777777"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Position specific requirements</w:t>
      </w:r>
    </w:p>
    <w:tbl>
      <w:tblPr>
        <w:tblStyle w:val="TableGrid"/>
        <w:tblW w:w="0" w:type="auto"/>
        <w:tblLook w:val="04A0" w:firstRow="1" w:lastRow="0" w:firstColumn="1" w:lastColumn="0" w:noHBand="0" w:noVBand="1"/>
      </w:tblPr>
      <w:tblGrid>
        <w:gridCol w:w="4002"/>
        <w:gridCol w:w="6203"/>
      </w:tblGrid>
      <w:tr w:rsidR="006E2410" w:rsidRPr="006E2410" w14:paraId="6248FC7F" w14:textId="77777777" w:rsidTr="00CF498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077" w:type="dxa"/>
            <w:shd w:val="clear" w:color="auto" w:fill="auto"/>
          </w:tcPr>
          <w:p w14:paraId="6248FC7D" w14:textId="77777777" w:rsidR="00CA3DB8" w:rsidRPr="006E2410" w:rsidRDefault="00CA3DB8" w:rsidP="007912C5">
            <w:pPr>
              <w:rPr>
                <w:rFonts w:ascii="Arial" w:hAnsi="Arial" w:cs="Arial"/>
                <w:color w:val="auto"/>
                <w:szCs w:val="22"/>
              </w:rPr>
            </w:pPr>
            <w:r w:rsidRPr="006E2410">
              <w:rPr>
                <w:rFonts w:ascii="Arial" w:hAnsi="Arial" w:cs="Arial"/>
                <w:color w:val="auto"/>
                <w:szCs w:val="22"/>
              </w:rPr>
              <w:t>Financial Delegation Value</w:t>
            </w:r>
          </w:p>
        </w:tc>
        <w:tc>
          <w:tcPr>
            <w:tcW w:w="6343" w:type="dxa"/>
            <w:shd w:val="clear" w:color="auto" w:fill="auto"/>
          </w:tcPr>
          <w:p w14:paraId="6248FC7E" w14:textId="02500F0F" w:rsidR="00CA3DB8" w:rsidRPr="006E2410" w:rsidRDefault="00CA3DB8" w:rsidP="007912C5">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6E2410">
              <w:rPr>
                <w:rFonts w:ascii="Arial" w:hAnsi="Arial" w:cs="Arial"/>
                <w:color w:val="auto"/>
                <w:szCs w:val="22"/>
              </w:rPr>
              <w:t>$</w:t>
            </w:r>
            <w:r w:rsidR="00284D3B">
              <w:rPr>
                <w:rFonts w:ascii="Arial" w:hAnsi="Arial" w:cs="Arial"/>
                <w:b/>
                <w:color w:val="auto"/>
                <w:szCs w:val="22"/>
              </w:rPr>
              <w:t>0</w:t>
            </w:r>
            <w:r w:rsidRPr="006E2410">
              <w:rPr>
                <w:rFonts w:ascii="Arial" w:hAnsi="Arial" w:cs="Arial"/>
                <w:color w:val="auto"/>
                <w:szCs w:val="22"/>
              </w:rPr>
              <w:t xml:space="preserve"> A declaration of Private Interests will be required for positions with financial delegations of &gt;$20,000</w:t>
            </w:r>
          </w:p>
        </w:tc>
      </w:tr>
      <w:tr w:rsidR="00CA3DB8" w:rsidRPr="001B1027" w14:paraId="6248FC85" w14:textId="77777777" w:rsidTr="00CF498E">
        <w:tc>
          <w:tcPr>
            <w:tcW w:w="4077" w:type="dxa"/>
            <w:shd w:val="clear" w:color="auto" w:fill="auto"/>
          </w:tcPr>
          <w:p w14:paraId="6248FC80" w14:textId="77777777" w:rsidR="00CA3DB8" w:rsidRPr="001B1027" w:rsidRDefault="00CA3DB8" w:rsidP="00B3114D">
            <w:pPr>
              <w:rPr>
                <w:rFonts w:ascii="Arial" w:hAnsi="Arial" w:cs="Arial"/>
                <w:szCs w:val="22"/>
              </w:rPr>
            </w:pPr>
            <w:r w:rsidRPr="001B1027">
              <w:rPr>
                <w:rFonts w:ascii="Arial" w:hAnsi="Arial" w:cs="Arial"/>
                <w:szCs w:val="22"/>
              </w:rPr>
              <w:t>This position has the following specific requirements:</w:t>
            </w:r>
          </w:p>
        </w:tc>
        <w:tc>
          <w:tcPr>
            <w:tcW w:w="6343" w:type="dxa"/>
            <w:shd w:val="clear" w:color="auto" w:fill="auto"/>
          </w:tcPr>
          <w:p w14:paraId="6248FC81" w14:textId="77777777" w:rsidR="00CA3DB8" w:rsidRPr="001B1027" w:rsidRDefault="00024B10" w:rsidP="007912C5">
            <w:pPr>
              <w:rPr>
                <w:rFonts w:ascii="Arial" w:hAnsi="Arial" w:cs="Arial"/>
                <w:color w:val="000000"/>
                <w:szCs w:val="22"/>
                <w:highlight w:val="lightGray"/>
                <w:lang w:eastAsia="zh-CN"/>
              </w:rPr>
            </w:pPr>
            <w:r>
              <w:rPr>
                <w:rFonts w:ascii="Arial" w:hAnsi="Arial" w:cs="Arial"/>
                <w:color w:val="000000"/>
                <w:szCs w:val="22"/>
                <w:lang w:eastAsia="zh-CN"/>
              </w:rPr>
              <w:t xml:space="preserve">A satisfactory </w:t>
            </w:r>
            <w:r w:rsidR="00CA3DB8" w:rsidRPr="001B1027">
              <w:rPr>
                <w:rFonts w:ascii="Arial" w:hAnsi="Arial" w:cs="Arial"/>
                <w:color w:val="000000"/>
                <w:szCs w:val="22"/>
                <w:lang w:eastAsia="zh-CN"/>
              </w:rPr>
              <w:t xml:space="preserve">National Police Check will be </w:t>
            </w:r>
            <w:r w:rsidR="00082DB0">
              <w:rPr>
                <w:rFonts w:ascii="Arial" w:hAnsi="Arial" w:cs="Arial"/>
                <w:color w:val="000000"/>
                <w:szCs w:val="22"/>
                <w:lang w:eastAsia="zh-CN"/>
              </w:rPr>
              <w:t xml:space="preserve">required </w:t>
            </w:r>
            <w:r w:rsidR="00CA3DB8" w:rsidRPr="001B1027">
              <w:rPr>
                <w:rFonts w:ascii="Arial" w:hAnsi="Arial" w:cs="Arial"/>
                <w:color w:val="000000"/>
                <w:szCs w:val="22"/>
                <w:lang w:eastAsia="zh-CN"/>
              </w:rPr>
              <w:t>(for all non-DELWP employees).</w:t>
            </w:r>
          </w:p>
          <w:p w14:paraId="6248FC84" w14:textId="2079CD7A" w:rsidR="00CA3DB8" w:rsidRPr="001B1027" w:rsidRDefault="00CA3DB8" w:rsidP="007912C5">
            <w:pPr>
              <w:rPr>
                <w:rFonts w:ascii="Arial" w:hAnsi="Arial" w:cs="Arial"/>
                <w:szCs w:val="22"/>
              </w:rPr>
            </w:pPr>
            <w:r w:rsidRPr="001B1027">
              <w:rPr>
                <w:rFonts w:ascii="Arial" w:hAnsi="Arial" w:cs="Arial"/>
                <w:color w:val="000000"/>
                <w:szCs w:val="22"/>
                <w:lang w:eastAsia="zh-CN"/>
              </w:rPr>
              <w:t>This position has a requirement to work shift work or out of hours work will be required that will involve evening or weekend work including occasional overnight travel</w:t>
            </w:r>
          </w:p>
        </w:tc>
      </w:tr>
    </w:tbl>
    <w:p w14:paraId="6248FC86" w14:textId="77777777"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Key Selection Criteria</w:t>
      </w:r>
    </w:p>
    <w:p w14:paraId="6248FC87" w14:textId="77777777" w:rsidR="00CA3DB8" w:rsidRPr="001B1027" w:rsidRDefault="00CA3DB8" w:rsidP="00CA3DB8">
      <w:pPr>
        <w:rPr>
          <w:rFonts w:ascii="Arial" w:hAnsi="Arial"/>
          <w:szCs w:val="22"/>
        </w:rPr>
      </w:pPr>
      <w:r w:rsidRPr="001B1027">
        <w:rPr>
          <w:rFonts w:ascii="Arial" w:hAnsi="Arial"/>
          <w:szCs w:val="22"/>
        </w:rPr>
        <w:t>The key selection criteria specified below outline the capabilities required for the position.</w:t>
      </w:r>
    </w:p>
    <w:p w14:paraId="6248FC88" w14:textId="77777777" w:rsidR="00CA3DB8" w:rsidRPr="001B1027" w:rsidRDefault="00CA3DB8" w:rsidP="00CA3DB8">
      <w:pPr>
        <w:spacing w:before="160"/>
        <w:rPr>
          <w:rFonts w:ascii="Arial" w:hAnsi="Arial"/>
          <w:b/>
          <w:szCs w:val="22"/>
        </w:rPr>
      </w:pPr>
      <w:r w:rsidRPr="001B1027">
        <w:rPr>
          <w:rFonts w:ascii="Arial" w:hAnsi="Arial"/>
          <w:b/>
          <w:szCs w:val="22"/>
        </w:rPr>
        <w:t>Specialist/Technical Expertise</w:t>
      </w:r>
    </w:p>
    <w:p w14:paraId="6F424A40" w14:textId="77777777" w:rsidR="00284D3B" w:rsidRPr="00284D3B" w:rsidRDefault="00284D3B" w:rsidP="00284D3B">
      <w:pPr>
        <w:pStyle w:val="ListParagraph"/>
        <w:numPr>
          <w:ilvl w:val="0"/>
          <w:numId w:val="43"/>
        </w:numPr>
        <w:spacing w:line="276" w:lineRule="auto"/>
        <w:rPr>
          <w:rFonts w:ascii="Arial" w:hAnsi="Arial"/>
          <w:color w:val="000000"/>
          <w:szCs w:val="22"/>
          <w:lang w:eastAsia="zh-CN"/>
        </w:rPr>
      </w:pPr>
      <w:r w:rsidRPr="00284D3B">
        <w:rPr>
          <w:rFonts w:ascii="Arial" w:hAnsi="Arial"/>
          <w:color w:val="000000"/>
          <w:szCs w:val="22"/>
          <w:lang w:eastAsia="zh-CN"/>
        </w:rPr>
        <w:t>Knowledge and experience in engaging stakeholders within the Victorian water sector.</w:t>
      </w:r>
    </w:p>
    <w:p w14:paraId="5D276346" w14:textId="77777777" w:rsidR="00284D3B" w:rsidRPr="00284D3B" w:rsidRDefault="00284D3B" w:rsidP="00284D3B">
      <w:pPr>
        <w:pStyle w:val="ListParagraph"/>
        <w:numPr>
          <w:ilvl w:val="0"/>
          <w:numId w:val="43"/>
        </w:numPr>
        <w:spacing w:line="276" w:lineRule="auto"/>
        <w:rPr>
          <w:rFonts w:ascii="Arial" w:hAnsi="Arial"/>
          <w:color w:val="000000"/>
          <w:szCs w:val="22"/>
          <w:lang w:eastAsia="zh-CN"/>
        </w:rPr>
      </w:pPr>
      <w:r w:rsidRPr="00284D3B">
        <w:rPr>
          <w:rFonts w:ascii="Arial" w:hAnsi="Arial"/>
          <w:color w:val="000000"/>
          <w:szCs w:val="22"/>
          <w:lang w:eastAsia="zh-CN"/>
        </w:rPr>
        <w:t>Knowledge of the requirements of the Murray-Darling Basin Plan.</w:t>
      </w:r>
    </w:p>
    <w:p w14:paraId="6248FC8C" w14:textId="77777777" w:rsidR="00CA3DB8" w:rsidRPr="001B1027" w:rsidRDefault="00CA3DB8" w:rsidP="00CA3DB8">
      <w:pPr>
        <w:spacing w:before="160"/>
        <w:rPr>
          <w:rFonts w:ascii="Arial" w:hAnsi="Arial"/>
          <w:b/>
          <w:szCs w:val="22"/>
        </w:rPr>
      </w:pPr>
      <w:r w:rsidRPr="001B1027">
        <w:rPr>
          <w:rFonts w:ascii="Arial" w:hAnsi="Arial"/>
          <w:b/>
          <w:szCs w:val="22"/>
        </w:rPr>
        <w:t>Knowledge and Skills</w:t>
      </w:r>
    </w:p>
    <w:p w14:paraId="2C161F1E" w14:textId="77777777" w:rsidR="00284D3B" w:rsidRPr="00284D3B" w:rsidRDefault="00284D3B" w:rsidP="00284D3B">
      <w:pPr>
        <w:pStyle w:val="ListParagraph"/>
        <w:numPr>
          <w:ilvl w:val="0"/>
          <w:numId w:val="46"/>
        </w:numPr>
        <w:spacing w:before="160"/>
        <w:rPr>
          <w:rFonts w:ascii="Arial" w:hAnsi="Arial"/>
          <w:color w:val="000000"/>
          <w:szCs w:val="22"/>
          <w:lang w:eastAsia="zh-CN"/>
        </w:rPr>
      </w:pPr>
      <w:r w:rsidRPr="00284D3B">
        <w:rPr>
          <w:rFonts w:ascii="Arial" w:hAnsi="Arial"/>
          <w:color w:val="000000"/>
          <w:szCs w:val="22"/>
          <w:lang w:eastAsia="zh-CN"/>
        </w:rPr>
        <w:t>Stakeholder Management:</w:t>
      </w:r>
    </w:p>
    <w:p w14:paraId="67B47AEB"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Identifies and manages a range of complex and often competing needs.</w:t>
      </w:r>
    </w:p>
    <w:p w14:paraId="11DC6BFB"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Identifies issues in common for one or more stakeholders and uses them to build mutually beneficial partnerships.</w:t>
      </w:r>
    </w:p>
    <w:p w14:paraId="50273128" w14:textId="1338482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Finds innovative</w:t>
      </w:r>
      <w:r>
        <w:rPr>
          <w:rFonts w:ascii="Arial" w:hAnsi="Arial"/>
          <w:color w:val="000000"/>
          <w:szCs w:val="22"/>
          <w:lang w:eastAsia="zh-CN"/>
        </w:rPr>
        <w:t xml:space="preserve"> and timely</w:t>
      </w:r>
      <w:r w:rsidRPr="00284D3B">
        <w:rPr>
          <w:rFonts w:ascii="Arial" w:hAnsi="Arial"/>
          <w:color w:val="000000"/>
          <w:szCs w:val="22"/>
          <w:lang w:eastAsia="zh-CN"/>
        </w:rPr>
        <w:t xml:space="preserve"> solutions to resolve stakeholder issues.</w:t>
      </w:r>
    </w:p>
    <w:p w14:paraId="0A95B57C" w14:textId="77777777" w:rsidR="00284D3B" w:rsidRPr="00284D3B" w:rsidRDefault="00284D3B" w:rsidP="00284D3B">
      <w:pPr>
        <w:pStyle w:val="ListParagraph"/>
        <w:numPr>
          <w:ilvl w:val="0"/>
          <w:numId w:val="46"/>
        </w:numPr>
        <w:spacing w:before="160"/>
        <w:rPr>
          <w:rFonts w:ascii="Arial" w:hAnsi="Arial"/>
          <w:color w:val="000000"/>
          <w:szCs w:val="22"/>
          <w:lang w:eastAsia="zh-CN"/>
        </w:rPr>
      </w:pPr>
      <w:r w:rsidRPr="00284D3B">
        <w:rPr>
          <w:rFonts w:ascii="Arial" w:hAnsi="Arial"/>
          <w:color w:val="000000"/>
          <w:szCs w:val="22"/>
          <w:lang w:eastAsia="zh-CN"/>
        </w:rPr>
        <w:t>Policy Skills:</w:t>
      </w:r>
    </w:p>
    <w:p w14:paraId="2C600361"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Builds trusting relationships with stakeholders to inform policy development and gain commitment to implementation.</w:t>
      </w:r>
    </w:p>
    <w:p w14:paraId="7A6E75F4"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Formulates and communicates public policy options and recommendations.</w:t>
      </w:r>
    </w:p>
    <w:p w14:paraId="7AB00A0C"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lastRenderedPageBreak/>
        <w:t>Scans for links and potential implications of proposed policy options.</w:t>
      </w:r>
    </w:p>
    <w:p w14:paraId="4E7E6AAA"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 xml:space="preserve">Keeps up-to-date with a broad range of contemporary issues. </w:t>
      </w:r>
    </w:p>
    <w:p w14:paraId="62CEE2C8" w14:textId="77777777" w:rsidR="00284D3B" w:rsidRPr="00284D3B" w:rsidRDefault="00284D3B" w:rsidP="00284D3B">
      <w:pPr>
        <w:pStyle w:val="ListParagraph"/>
        <w:numPr>
          <w:ilvl w:val="0"/>
          <w:numId w:val="46"/>
        </w:numPr>
        <w:spacing w:before="160"/>
        <w:rPr>
          <w:rFonts w:ascii="Arial" w:hAnsi="Arial"/>
          <w:color w:val="000000"/>
          <w:szCs w:val="22"/>
          <w:lang w:eastAsia="zh-CN"/>
        </w:rPr>
      </w:pPr>
      <w:r w:rsidRPr="00284D3B">
        <w:rPr>
          <w:rFonts w:ascii="Arial" w:hAnsi="Arial"/>
          <w:color w:val="000000"/>
          <w:szCs w:val="22"/>
          <w:lang w:eastAsia="zh-CN"/>
        </w:rPr>
        <w:t>Written Communication:</w:t>
      </w:r>
    </w:p>
    <w:p w14:paraId="35DF097E"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Identifies key messages and information required for decision making.</w:t>
      </w:r>
    </w:p>
    <w:p w14:paraId="487C03C2"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Provides advice on influencing and the needs of target audiences.</w:t>
      </w:r>
    </w:p>
    <w:p w14:paraId="58A91346" w14:textId="77777777" w:rsidR="00284D3B" w:rsidRPr="00284D3B" w:rsidRDefault="00284D3B" w:rsidP="00284D3B">
      <w:pPr>
        <w:pStyle w:val="ListParagraph"/>
        <w:numPr>
          <w:ilvl w:val="1"/>
          <w:numId w:val="46"/>
        </w:numPr>
        <w:spacing w:before="160"/>
        <w:rPr>
          <w:rFonts w:ascii="Arial" w:hAnsi="Arial"/>
          <w:color w:val="000000"/>
          <w:szCs w:val="22"/>
          <w:lang w:eastAsia="zh-CN"/>
        </w:rPr>
      </w:pPr>
      <w:r w:rsidRPr="00284D3B">
        <w:rPr>
          <w:rFonts w:ascii="Arial" w:hAnsi="Arial"/>
          <w:color w:val="000000"/>
          <w:szCs w:val="22"/>
          <w:lang w:eastAsia="zh-CN"/>
        </w:rPr>
        <w:t>Provides advice on the content and style appropriate for audience.</w:t>
      </w:r>
    </w:p>
    <w:p w14:paraId="6955508D" w14:textId="5F8FECEE" w:rsidR="00284D3B" w:rsidRPr="00284D3B" w:rsidRDefault="00284D3B" w:rsidP="00284D3B">
      <w:pPr>
        <w:pStyle w:val="ListParagraph"/>
        <w:numPr>
          <w:ilvl w:val="0"/>
          <w:numId w:val="46"/>
        </w:numPr>
        <w:spacing w:before="160"/>
        <w:rPr>
          <w:rFonts w:ascii="Arial" w:hAnsi="Arial"/>
          <w:color w:val="000000"/>
          <w:szCs w:val="22"/>
          <w:lang w:eastAsia="zh-CN"/>
        </w:rPr>
      </w:pPr>
      <w:r w:rsidRPr="00284D3B">
        <w:rPr>
          <w:rFonts w:ascii="Arial" w:hAnsi="Arial"/>
          <w:color w:val="000000"/>
          <w:szCs w:val="22"/>
          <w:lang w:eastAsia="zh-CN"/>
        </w:rPr>
        <w:t>Influence and Negotiation:</w:t>
      </w:r>
    </w:p>
    <w:p w14:paraId="465DBA47" w14:textId="77777777" w:rsidR="000F6C4E" w:rsidRPr="000F6C4E" w:rsidRDefault="00284D3B" w:rsidP="000F6C4E">
      <w:pPr>
        <w:pStyle w:val="ListParagraph"/>
        <w:numPr>
          <w:ilvl w:val="1"/>
          <w:numId w:val="46"/>
        </w:numPr>
      </w:pPr>
      <w:r w:rsidRPr="000F6C4E">
        <w:t>Develops long-term, complex and multi-phased plans to influence others.</w:t>
      </w:r>
    </w:p>
    <w:p w14:paraId="265E70F2" w14:textId="169AA94D" w:rsidR="000F6C4E" w:rsidRPr="000F6C4E" w:rsidRDefault="00284D3B" w:rsidP="000F6C4E">
      <w:pPr>
        <w:pStyle w:val="ListParagraph"/>
        <w:numPr>
          <w:ilvl w:val="1"/>
          <w:numId w:val="46"/>
        </w:numPr>
      </w:pPr>
      <w:r w:rsidRPr="000F6C4E">
        <w:t>Implements complex strategies to build buy-in and support from key internal and external clients or stakeholders.</w:t>
      </w:r>
    </w:p>
    <w:p w14:paraId="3118CC6D" w14:textId="708E83AD" w:rsidR="00284D3B" w:rsidRPr="000F6C4E" w:rsidRDefault="00284D3B" w:rsidP="000F6C4E">
      <w:pPr>
        <w:pStyle w:val="ListParagraph"/>
        <w:numPr>
          <w:ilvl w:val="1"/>
          <w:numId w:val="46"/>
        </w:numPr>
      </w:pPr>
      <w:r w:rsidRPr="000F6C4E">
        <w:t>Uses a variety of different influencing approaches tailored to different stakeholder.</w:t>
      </w:r>
    </w:p>
    <w:p w14:paraId="1F672E11" w14:textId="77777777" w:rsidR="00284D3B" w:rsidRPr="000F6C4E" w:rsidRDefault="00284D3B" w:rsidP="000F6C4E">
      <w:pPr>
        <w:pStyle w:val="ListParagraph"/>
        <w:numPr>
          <w:ilvl w:val="1"/>
          <w:numId w:val="46"/>
        </w:numPr>
      </w:pPr>
      <w:r w:rsidRPr="000F6C4E">
        <w:t>Effectively negotiates with clients/stakeholders to achieve desired outcomes.</w:t>
      </w:r>
    </w:p>
    <w:p w14:paraId="6248FC94" w14:textId="77777777" w:rsidR="00CA3DB8" w:rsidRPr="001B1027" w:rsidRDefault="00CA3DB8" w:rsidP="00CA3DB8">
      <w:pPr>
        <w:rPr>
          <w:rFonts w:ascii="Arial" w:hAnsi="Arial"/>
          <w:b/>
          <w:szCs w:val="22"/>
        </w:rPr>
      </w:pPr>
    </w:p>
    <w:p w14:paraId="6248FC95" w14:textId="77777777" w:rsidR="00CA3DB8" w:rsidRPr="001B1027" w:rsidRDefault="00CA3DB8" w:rsidP="00CA3DB8">
      <w:pPr>
        <w:rPr>
          <w:rFonts w:ascii="Arial" w:hAnsi="Arial"/>
          <w:b/>
          <w:szCs w:val="22"/>
        </w:rPr>
      </w:pPr>
      <w:r w:rsidRPr="001B1027">
        <w:rPr>
          <w:rFonts w:ascii="Arial" w:hAnsi="Arial"/>
          <w:b/>
          <w:szCs w:val="22"/>
        </w:rPr>
        <w:t>Department Values</w:t>
      </w:r>
    </w:p>
    <w:p w14:paraId="6248FC96" w14:textId="77777777" w:rsidR="00CA3DB8" w:rsidRPr="001B1027" w:rsidRDefault="00CA3DB8" w:rsidP="00CA3DB8">
      <w:pPr>
        <w:rPr>
          <w:rFonts w:ascii="Arial" w:hAnsi="Arial"/>
          <w:color w:val="000000"/>
          <w:szCs w:val="22"/>
        </w:rPr>
      </w:pPr>
      <w:r w:rsidRPr="001B1027">
        <w:rPr>
          <w:rFonts w:ascii="Arial" w:hAnsi="Arial"/>
          <w:color w:val="000000"/>
          <w:szCs w:val="22"/>
        </w:rPr>
        <w:t xml:space="preserve">Our values underpin everything we do. How we deliver our work is as important as the outcomes we achieve for the Victorian community. Our values are the foundation of our culture and guide how we work together, with our ministers, stakeholders, partners and the community.  </w:t>
      </w:r>
    </w:p>
    <w:p w14:paraId="6248FC97" w14:textId="77777777" w:rsidR="00CA3DB8" w:rsidRPr="001B1027" w:rsidRDefault="00CA3DB8" w:rsidP="00CA3DB8">
      <w:pPr>
        <w:rPr>
          <w:rFonts w:ascii="Arial" w:hAnsi="Arial"/>
          <w:color w:val="000000"/>
          <w:szCs w:val="22"/>
        </w:rPr>
      </w:pPr>
    </w:p>
    <w:p w14:paraId="6248FC98" w14:textId="5C15277B" w:rsidR="00CA3DB8" w:rsidRPr="001B1027" w:rsidRDefault="00CA3DB8" w:rsidP="00CA3DB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olor w:val="000000"/>
          <w:szCs w:val="22"/>
        </w:rPr>
      </w:pPr>
      <w:r w:rsidRPr="001B1027">
        <w:rPr>
          <w:rFonts w:ascii="Arial" w:hAnsi="Arial"/>
          <w:color w:val="000000"/>
          <w:szCs w:val="22"/>
        </w:rPr>
        <w:t xml:space="preserve">The departments values are: </w:t>
      </w:r>
      <w:r w:rsidRPr="001B1027">
        <w:rPr>
          <w:rFonts w:ascii="Arial" w:hAnsi="Arial"/>
          <w:b/>
          <w:color w:val="000000"/>
          <w:szCs w:val="22"/>
        </w:rPr>
        <w:t>Teamwork</w:t>
      </w:r>
      <w:r w:rsidRPr="001B1027">
        <w:rPr>
          <w:rFonts w:ascii="Arial" w:hAnsi="Arial"/>
          <w:color w:val="000000"/>
          <w:szCs w:val="22"/>
        </w:rPr>
        <w:t xml:space="preserve">, </w:t>
      </w:r>
      <w:r w:rsidRPr="001B1027">
        <w:rPr>
          <w:rFonts w:ascii="Arial" w:hAnsi="Arial"/>
          <w:b/>
          <w:color w:val="000000"/>
          <w:szCs w:val="22"/>
        </w:rPr>
        <w:t>Service Excellence</w:t>
      </w:r>
      <w:r w:rsidRPr="001B1027">
        <w:rPr>
          <w:rFonts w:ascii="Arial" w:hAnsi="Arial"/>
          <w:color w:val="000000"/>
          <w:szCs w:val="22"/>
        </w:rPr>
        <w:t xml:space="preserve">, </w:t>
      </w:r>
      <w:r w:rsidRPr="001B1027">
        <w:rPr>
          <w:rFonts w:ascii="Arial" w:hAnsi="Arial"/>
          <w:b/>
          <w:color w:val="000000"/>
          <w:szCs w:val="22"/>
        </w:rPr>
        <w:t>Ownership</w:t>
      </w:r>
      <w:r w:rsidRPr="001B1027">
        <w:rPr>
          <w:rFonts w:ascii="Arial" w:hAnsi="Arial"/>
          <w:color w:val="000000"/>
          <w:szCs w:val="22"/>
        </w:rPr>
        <w:t xml:space="preserve"> and </w:t>
      </w:r>
      <w:r w:rsidRPr="001B1027">
        <w:rPr>
          <w:rFonts w:ascii="Arial" w:hAnsi="Arial"/>
          <w:b/>
          <w:color w:val="000000"/>
          <w:szCs w:val="22"/>
        </w:rPr>
        <w:t>Wellbeing &amp; Safety</w:t>
      </w:r>
      <w:r w:rsidRPr="001B1027">
        <w:rPr>
          <w:rFonts w:ascii="Arial" w:hAnsi="Arial"/>
          <w:color w:val="000000"/>
          <w:szCs w:val="22"/>
        </w:rPr>
        <w:t xml:space="preserve">. </w:t>
      </w:r>
    </w:p>
    <w:p w14:paraId="6248FC99" w14:textId="77777777" w:rsidR="00CA3DB8" w:rsidRPr="001B1027" w:rsidRDefault="00CA3DB8" w:rsidP="00CA3DB8">
      <w:pPr>
        <w:rPr>
          <w:rFonts w:ascii="Arial" w:hAnsi="Arial"/>
          <w:b/>
          <w:szCs w:val="22"/>
        </w:rPr>
      </w:pPr>
    </w:p>
    <w:p w14:paraId="6248FC9A" w14:textId="77777777"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Emergency Response and Health and Safety Requirements</w:t>
      </w:r>
    </w:p>
    <w:p w14:paraId="6248FC9B" w14:textId="0BA4D12D" w:rsidR="00CA3DB8" w:rsidRPr="001B1027" w:rsidRDefault="00CA3DB8" w:rsidP="00CA3DB8">
      <w:pPr>
        <w:pStyle w:val="ListParagraph"/>
        <w:spacing w:after="240" w:line="240" w:lineRule="auto"/>
        <w:ind w:left="0"/>
        <w:outlineLvl w:val="1"/>
        <w:rPr>
          <w:rFonts w:ascii="Arial" w:hAnsi="Arial"/>
        </w:rPr>
      </w:pPr>
      <w:r w:rsidRPr="001B1027">
        <w:rPr>
          <w:rFonts w:ascii="Arial" w:hAnsi="Arial"/>
        </w:rPr>
        <w:t>The department</w:t>
      </w:r>
      <w:r w:rsidRPr="001B1027">
        <w:rPr>
          <w:rFonts w:ascii="Arial" w:hAnsi="Arial"/>
          <w:b/>
        </w:rPr>
        <w:t xml:space="preserve"> </w:t>
      </w:r>
      <w:r w:rsidRPr="001B1027">
        <w:rPr>
          <w:rFonts w:ascii="Arial" w:hAnsi="Arial"/>
        </w:rPr>
        <w:t>plays a major role in Victoria’s emergency response activities, through an all-haz</w:t>
      </w:r>
      <w:r w:rsidRPr="00062615">
        <w:rPr>
          <w:rFonts w:ascii="Arial" w:hAnsi="Arial"/>
          <w:color w:val="auto"/>
        </w:rPr>
        <w:t xml:space="preserve">ards, </w:t>
      </w:r>
      <w:r w:rsidR="00AF5BCB" w:rsidRPr="00062615">
        <w:rPr>
          <w:rFonts w:ascii="Arial" w:hAnsi="Arial"/>
          <w:color w:val="auto"/>
        </w:rPr>
        <w:t>all-</w:t>
      </w:r>
      <w:r w:rsidR="00B145ED">
        <w:rPr>
          <w:rFonts w:ascii="Arial" w:hAnsi="Arial"/>
          <w:color w:val="auto"/>
        </w:rPr>
        <w:t>e</w:t>
      </w:r>
      <w:r w:rsidR="00AF5BCB" w:rsidRPr="00062615">
        <w:rPr>
          <w:rFonts w:ascii="Arial" w:hAnsi="Arial"/>
          <w:color w:val="auto"/>
          <w:szCs w:val="22"/>
        </w:rPr>
        <w:t>mergencies</w:t>
      </w:r>
      <w:r w:rsidR="00AF5BCB" w:rsidRPr="00062615">
        <w:rPr>
          <w:rFonts w:ascii="Arial" w:hAnsi="Arial"/>
          <w:color w:val="auto"/>
        </w:rPr>
        <w:t xml:space="preserve"> </w:t>
      </w:r>
      <w:r w:rsidRPr="00062615">
        <w:rPr>
          <w:rFonts w:ascii="Arial" w:hAnsi="Arial"/>
          <w:color w:val="auto"/>
        </w:rPr>
        <w:t>approach</w:t>
      </w:r>
      <w:r w:rsidRPr="001B1027">
        <w:rPr>
          <w:rFonts w:ascii="Arial" w:hAnsi="Arial"/>
        </w:rPr>
        <w:t>.  Staff may be directly employed for these roles or may be called upon to support these activities as required following the appropriate training and “fit for work” assessment.</w:t>
      </w:r>
    </w:p>
    <w:p w14:paraId="6248FC9C" w14:textId="77777777" w:rsidR="00CA3DB8" w:rsidRPr="001B1027" w:rsidRDefault="00CA3DB8" w:rsidP="00CA3DB8">
      <w:pPr>
        <w:pStyle w:val="ListParagraph"/>
        <w:spacing w:after="240" w:line="240" w:lineRule="auto"/>
        <w:ind w:left="0"/>
        <w:outlineLvl w:val="1"/>
        <w:rPr>
          <w:rFonts w:ascii="Arial" w:hAnsi="Arial"/>
        </w:rPr>
      </w:pPr>
    </w:p>
    <w:p w14:paraId="6248FC9D" w14:textId="77777777" w:rsidR="00CA3DB8" w:rsidRPr="001B1027" w:rsidRDefault="00CA3DB8" w:rsidP="00CA3DB8">
      <w:pPr>
        <w:pStyle w:val="ListParagraph"/>
        <w:spacing w:line="240" w:lineRule="auto"/>
        <w:ind w:left="0"/>
        <w:outlineLvl w:val="1"/>
        <w:rPr>
          <w:rFonts w:ascii="Arial" w:hAnsi="Arial"/>
        </w:rPr>
      </w:pPr>
      <w:r w:rsidRPr="001B1027">
        <w:rPr>
          <w:rFonts w:ascii="Arial" w:hAnsi="Arial"/>
        </w:rPr>
        <w:t>The occupational health and safety requirements of this position include, but are not limited to:</w:t>
      </w:r>
    </w:p>
    <w:p w14:paraId="6248FCA0" w14:textId="77777777" w:rsidR="00CA3DB8" w:rsidRPr="001B1027" w:rsidRDefault="00CA3DB8" w:rsidP="00CA3DB8">
      <w:pPr>
        <w:pStyle w:val="ListParagraph"/>
        <w:numPr>
          <w:ilvl w:val="0"/>
          <w:numId w:val="45"/>
        </w:numPr>
        <w:spacing w:after="240" w:line="240" w:lineRule="auto"/>
        <w:outlineLvl w:val="1"/>
        <w:rPr>
          <w:rFonts w:ascii="Arial" w:hAnsi="Arial"/>
        </w:rPr>
      </w:pPr>
      <w:r w:rsidRPr="001B1027">
        <w:rPr>
          <w:rFonts w:ascii="Arial" w:hAnsi="Arial"/>
        </w:rPr>
        <w:t>Sedentary desk work</w:t>
      </w:r>
    </w:p>
    <w:p w14:paraId="6248FCA1" w14:textId="77777777" w:rsidR="00CA3DB8" w:rsidRPr="001B1027" w:rsidRDefault="00CA3DB8" w:rsidP="00CA3DB8">
      <w:pPr>
        <w:pStyle w:val="ListParagraph"/>
        <w:numPr>
          <w:ilvl w:val="0"/>
          <w:numId w:val="45"/>
        </w:numPr>
        <w:spacing w:after="240" w:line="240" w:lineRule="auto"/>
        <w:outlineLvl w:val="1"/>
        <w:rPr>
          <w:rFonts w:ascii="Arial" w:hAnsi="Arial"/>
        </w:rPr>
      </w:pPr>
      <w:r w:rsidRPr="001B1027">
        <w:rPr>
          <w:rFonts w:ascii="Arial" w:hAnsi="Arial"/>
        </w:rPr>
        <w:t>Field work</w:t>
      </w:r>
    </w:p>
    <w:p w14:paraId="6248FCA2" w14:textId="77777777" w:rsidR="00CA3DB8" w:rsidRPr="001B1027" w:rsidRDefault="00CA3DB8" w:rsidP="00CA3DB8">
      <w:pPr>
        <w:pStyle w:val="ListParagraph"/>
        <w:numPr>
          <w:ilvl w:val="0"/>
          <w:numId w:val="45"/>
        </w:numPr>
        <w:spacing w:after="240" w:line="240" w:lineRule="auto"/>
        <w:outlineLvl w:val="1"/>
        <w:rPr>
          <w:rFonts w:ascii="Arial" w:hAnsi="Arial"/>
        </w:rPr>
      </w:pPr>
      <w:r w:rsidRPr="001B1027">
        <w:rPr>
          <w:rFonts w:ascii="Arial" w:hAnsi="Arial"/>
        </w:rPr>
        <w:t>Manual handling</w:t>
      </w:r>
    </w:p>
    <w:p w14:paraId="6248FCA5" w14:textId="77777777" w:rsidR="00CA3DB8" w:rsidRPr="001B1027" w:rsidRDefault="00CA3DB8" w:rsidP="00CA3DB8">
      <w:pPr>
        <w:rPr>
          <w:rFonts w:ascii="Arial" w:hAnsi="Arial"/>
          <w:strike/>
        </w:rPr>
      </w:pPr>
    </w:p>
    <w:p w14:paraId="6248FCA6" w14:textId="77777777"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Other relevant information</w:t>
      </w:r>
    </w:p>
    <w:p w14:paraId="6248FCA7" w14:textId="77777777" w:rsidR="00CA3DB8" w:rsidRPr="001B1027" w:rsidRDefault="00CA3DB8" w:rsidP="00CA3DB8">
      <w:pPr>
        <w:spacing w:before="120" w:after="120"/>
        <w:rPr>
          <w:rFonts w:ascii="Arial" w:hAnsi="Arial"/>
          <w:b/>
          <w:szCs w:val="22"/>
        </w:rPr>
      </w:pPr>
      <w:r w:rsidRPr="001B1027">
        <w:rPr>
          <w:rFonts w:ascii="Arial" w:hAnsi="Arial"/>
          <w:b/>
          <w:szCs w:val="22"/>
        </w:rPr>
        <w:t>Employment Eligibility</w:t>
      </w:r>
    </w:p>
    <w:p w14:paraId="6248FCA8" w14:textId="77777777" w:rsidR="00CA3DB8" w:rsidRPr="00853C7B" w:rsidRDefault="00CA3DB8" w:rsidP="00853C7B">
      <w:pPr>
        <w:pStyle w:val="ListParagraph"/>
        <w:numPr>
          <w:ilvl w:val="0"/>
          <w:numId w:val="48"/>
        </w:numPr>
        <w:tabs>
          <w:tab w:val="left" w:pos="360"/>
          <w:tab w:val="left" w:pos="720"/>
        </w:tabs>
        <w:autoSpaceDE w:val="0"/>
        <w:autoSpaceDN w:val="0"/>
        <w:adjustRightInd w:val="0"/>
        <w:spacing w:line="240" w:lineRule="auto"/>
        <w:rPr>
          <w:rFonts w:ascii="Arial" w:hAnsi="Arial"/>
          <w:color w:val="000000"/>
          <w:szCs w:val="22"/>
        </w:rPr>
      </w:pPr>
      <w:r w:rsidRPr="00853C7B">
        <w:rPr>
          <w:rFonts w:ascii="Arial" w:hAnsi="Arial"/>
          <w:color w:val="000000"/>
          <w:szCs w:val="22"/>
        </w:rPr>
        <w:t>Recipients of Victorian Public Service (VPS) voluntary departure packages should note that re-employment restrictions apply</w:t>
      </w:r>
    </w:p>
    <w:p w14:paraId="6248FCA9" w14:textId="77777777" w:rsidR="00CA3DB8" w:rsidRPr="00853C7B" w:rsidRDefault="00CA3DB8" w:rsidP="00853C7B">
      <w:pPr>
        <w:pStyle w:val="ListParagraph"/>
        <w:numPr>
          <w:ilvl w:val="0"/>
          <w:numId w:val="48"/>
        </w:numPr>
        <w:tabs>
          <w:tab w:val="left" w:pos="360"/>
          <w:tab w:val="left" w:pos="720"/>
        </w:tabs>
        <w:autoSpaceDE w:val="0"/>
        <w:autoSpaceDN w:val="0"/>
        <w:adjustRightInd w:val="0"/>
        <w:spacing w:line="240" w:lineRule="auto"/>
        <w:rPr>
          <w:rFonts w:ascii="Arial" w:hAnsi="Arial"/>
          <w:color w:val="000000"/>
          <w:szCs w:val="22"/>
        </w:rPr>
      </w:pPr>
      <w:r w:rsidRPr="00853C7B">
        <w:rPr>
          <w:rFonts w:ascii="Arial" w:hAnsi="Arial"/>
          <w:color w:val="000000"/>
          <w:szCs w:val="22"/>
        </w:rPr>
        <w:t xml:space="preserve">Non </w:t>
      </w:r>
      <w:smartTag w:uri="urn:schemas-microsoft-com:office:smarttags" w:element="stockticker">
        <w:r w:rsidRPr="00853C7B">
          <w:rPr>
            <w:rFonts w:ascii="Arial" w:hAnsi="Arial"/>
            <w:color w:val="000000"/>
            <w:szCs w:val="22"/>
          </w:rPr>
          <w:t>VPS</w:t>
        </w:r>
      </w:smartTag>
      <w:r w:rsidRPr="00853C7B">
        <w:rPr>
          <w:rFonts w:ascii="Arial" w:hAnsi="Arial"/>
          <w:color w:val="000000"/>
          <w:szCs w:val="22"/>
        </w:rPr>
        <w:t xml:space="preserve"> applicants will be subject to a probation period of three months</w:t>
      </w:r>
    </w:p>
    <w:p w14:paraId="6248FCAA" w14:textId="77777777" w:rsidR="00CA3DB8" w:rsidRPr="001B1027" w:rsidRDefault="00CA3DB8" w:rsidP="00CA3DB8">
      <w:pPr>
        <w:spacing w:before="120" w:after="120"/>
        <w:rPr>
          <w:rFonts w:ascii="Arial" w:hAnsi="Arial"/>
          <w:b/>
          <w:szCs w:val="22"/>
        </w:rPr>
      </w:pPr>
      <w:r w:rsidRPr="001B1027">
        <w:rPr>
          <w:rFonts w:ascii="Arial" w:hAnsi="Arial"/>
          <w:b/>
          <w:szCs w:val="22"/>
        </w:rPr>
        <w:t>Join a Workplace Based on Fair Employment</w:t>
      </w:r>
    </w:p>
    <w:p w14:paraId="6248FCAB" w14:textId="77777777" w:rsidR="00CA3DB8" w:rsidRPr="001B1027" w:rsidRDefault="00CA3DB8" w:rsidP="00CA3DB8">
      <w:pPr>
        <w:rPr>
          <w:rFonts w:ascii="Arial" w:eastAsia="Calibri" w:hAnsi="Arial"/>
          <w:szCs w:val="22"/>
        </w:rPr>
      </w:pPr>
      <w:r w:rsidRPr="001B1027">
        <w:rPr>
          <w:rFonts w:ascii="Arial" w:eastAsia="Calibri" w:hAnsi="Arial"/>
          <w:szCs w:val="22"/>
        </w:rPr>
        <w:t>The department offers fair employment and career opportunities.  We aim to attract a diverse pool of applicants and focus on the genuine and essential requirements of the job and being consistent and fair in our treatment of applicants.</w:t>
      </w:r>
    </w:p>
    <w:p w14:paraId="6248FCAC" w14:textId="77777777" w:rsidR="00CA3DB8" w:rsidRPr="001B1027" w:rsidRDefault="00CA3DB8" w:rsidP="00CA3DB8">
      <w:pPr>
        <w:spacing w:before="120" w:after="120"/>
        <w:rPr>
          <w:rFonts w:ascii="Arial" w:hAnsi="Arial"/>
          <w:b/>
          <w:szCs w:val="22"/>
        </w:rPr>
      </w:pPr>
      <w:r w:rsidRPr="001B1027">
        <w:rPr>
          <w:rFonts w:ascii="Arial" w:hAnsi="Arial"/>
          <w:b/>
          <w:szCs w:val="22"/>
        </w:rPr>
        <w:t>Balancing your Life</w:t>
      </w:r>
    </w:p>
    <w:p w14:paraId="6248FCAD" w14:textId="77777777" w:rsidR="00CA3DB8" w:rsidRPr="001B1027" w:rsidRDefault="00CA3DB8" w:rsidP="00CA3DB8">
      <w:pPr>
        <w:spacing w:before="120" w:after="120"/>
        <w:rPr>
          <w:rFonts w:ascii="Arial" w:eastAsia="Calibri" w:hAnsi="Arial"/>
          <w:szCs w:val="22"/>
        </w:rPr>
      </w:pPr>
      <w:r w:rsidRPr="001B1027">
        <w:rPr>
          <w:rFonts w:ascii="Arial" w:eastAsia="Calibri" w:hAnsi="Arial"/>
          <w:szCs w:val="22"/>
        </w:rPr>
        <w:t>We understand that life balance is an important part of our employees’ lives.  The department offers a wide range of flexible arrangements to enable you to balance your work with other commitments and activities including family, health, study, carer responsibilities, hobbies and life/career aspirations.  We provide various options such as flexible start and finishing times, working part time, job sharing, working from home and paid leave provisions that can be negotiated with your manager to help balance your personal commitments with the demands of the role.</w:t>
      </w:r>
    </w:p>
    <w:p w14:paraId="6248FCAE" w14:textId="77777777" w:rsidR="00CA3DB8" w:rsidRPr="001B1027" w:rsidRDefault="00CA3DB8" w:rsidP="00CA3DB8">
      <w:pPr>
        <w:spacing w:before="120" w:after="120"/>
        <w:rPr>
          <w:rFonts w:ascii="Arial" w:hAnsi="Arial"/>
          <w:b/>
          <w:szCs w:val="22"/>
        </w:rPr>
      </w:pPr>
      <w:r w:rsidRPr="001B1027">
        <w:rPr>
          <w:rFonts w:ascii="Arial" w:hAnsi="Arial"/>
          <w:b/>
          <w:szCs w:val="22"/>
        </w:rPr>
        <w:t>Equal Opportunity Employer</w:t>
      </w:r>
    </w:p>
    <w:p w14:paraId="6248FCAF" w14:textId="77777777" w:rsidR="00CA3DB8" w:rsidRPr="001B1027" w:rsidRDefault="00CA3DB8" w:rsidP="00CA3DB8">
      <w:pPr>
        <w:rPr>
          <w:rFonts w:ascii="Arial" w:hAnsi="Arial"/>
          <w:color w:val="000000"/>
          <w:szCs w:val="22"/>
        </w:rPr>
      </w:pPr>
      <w:r w:rsidRPr="001B1027">
        <w:rPr>
          <w:rFonts w:ascii="Arial" w:hAnsi="Arial"/>
          <w:color w:val="000000"/>
          <w:szCs w:val="22"/>
        </w:rPr>
        <w:t xml:space="preserve">The department is an equal opportunity employer and welcomes applicants from a diverse range of backgrounds.  </w:t>
      </w:r>
    </w:p>
    <w:p w14:paraId="6248FCB0" w14:textId="77777777" w:rsidR="00CA3DB8" w:rsidRPr="001B1027" w:rsidRDefault="00CA3DB8" w:rsidP="00CA3DB8">
      <w:pPr>
        <w:rPr>
          <w:rFonts w:ascii="Arial" w:hAnsi="Arial"/>
          <w:color w:val="000000"/>
          <w:szCs w:val="22"/>
        </w:rPr>
      </w:pPr>
      <w:r w:rsidRPr="001B1027">
        <w:rPr>
          <w:rFonts w:ascii="Arial" w:hAnsi="Arial"/>
          <w:color w:val="000000"/>
          <w:szCs w:val="22"/>
        </w:rPr>
        <w:lastRenderedPageBreak/>
        <w:t>It is a policy of the department to provide reasonable adjustments for persons with a disability. If you need assistance or adjustments to fully participate in the application or interview process, please use the contact listed under ‘Position Details’.</w:t>
      </w:r>
    </w:p>
    <w:p w14:paraId="6248FCB1" w14:textId="77777777" w:rsidR="00CA3DB8" w:rsidRPr="001B1027" w:rsidRDefault="00CA3DB8" w:rsidP="00CA3DB8">
      <w:pPr>
        <w:spacing w:before="120" w:after="120"/>
        <w:rPr>
          <w:rFonts w:ascii="Arial" w:hAnsi="Arial"/>
          <w:b/>
          <w:szCs w:val="22"/>
        </w:rPr>
      </w:pPr>
      <w:r w:rsidRPr="001B1027">
        <w:rPr>
          <w:rFonts w:ascii="Arial" w:hAnsi="Arial"/>
          <w:b/>
          <w:szCs w:val="22"/>
        </w:rPr>
        <w:t>Terms and Conditions</w:t>
      </w:r>
    </w:p>
    <w:p w14:paraId="6248FCB2" w14:textId="77777777" w:rsidR="00CA3DB8" w:rsidRPr="001B1027" w:rsidRDefault="00CA3DB8" w:rsidP="00CA3DB8">
      <w:pPr>
        <w:pStyle w:val="ListParagraph"/>
        <w:spacing w:line="240" w:lineRule="auto"/>
        <w:ind w:left="0"/>
        <w:contextualSpacing w:val="0"/>
        <w:outlineLvl w:val="1"/>
        <w:rPr>
          <w:rFonts w:ascii="Arial" w:hAnsi="Arial"/>
        </w:rPr>
      </w:pPr>
      <w:r w:rsidRPr="001B1027">
        <w:rPr>
          <w:rFonts w:ascii="Arial" w:hAnsi="Arial"/>
        </w:rPr>
        <w:t xml:space="preserve">Conditions of employment will be governed by the </w:t>
      </w:r>
      <w:r w:rsidRPr="001B1027">
        <w:rPr>
          <w:rFonts w:ascii="Arial" w:hAnsi="Arial"/>
          <w:i/>
        </w:rPr>
        <w:t>Victorian Public Service Enterprise Agreement 2016</w:t>
      </w:r>
      <w:r w:rsidRPr="001B1027">
        <w:rPr>
          <w:rFonts w:ascii="Arial" w:hAnsi="Arial"/>
        </w:rPr>
        <w:t xml:space="preserve"> and the </w:t>
      </w:r>
      <w:r w:rsidRPr="001B1027">
        <w:rPr>
          <w:rFonts w:ascii="Arial" w:hAnsi="Arial"/>
          <w:i/>
        </w:rPr>
        <w:t>Public Administration Act.</w:t>
      </w:r>
    </w:p>
    <w:p w14:paraId="6248FCB3" w14:textId="77777777" w:rsidR="00CA3DB8" w:rsidRPr="001B1027" w:rsidRDefault="00CA3DB8" w:rsidP="00CA3DB8">
      <w:pPr>
        <w:spacing w:before="120" w:after="120"/>
        <w:rPr>
          <w:rFonts w:ascii="Arial" w:hAnsi="Arial"/>
          <w:b/>
          <w:szCs w:val="22"/>
        </w:rPr>
      </w:pPr>
      <w:r w:rsidRPr="001B1027">
        <w:rPr>
          <w:rFonts w:ascii="Arial" w:hAnsi="Arial"/>
          <w:b/>
          <w:szCs w:val="22"/>
        </w:rPr>
        <w:t>Privacy and Probity</w:t>
      </w:r>
    </w:p>
    <w:p w14:paraId="6248FCB4" w14:textId="77777777" w:rsidR="00CA3DB8" w:rsidRPr="001B1027" w:rsidRDefault="00CA3DB8" w:rsidP="00CA3DB8">
      <w:pPr>
        <w:spacing w:line="276" w:lineRule="auto"/>
        <w:outlineLvl w:val="1"/>
        <w:rPr>
          <w:rFonts w:ascii="Arial" w:eastAsia="Calibri" w:hAnsi="Arial"/>
          <w:szCs w:val="22"/>
        </w:rPr>
      </w:pPr>
      <w:r w:rsidRPr="001B1027">
        <w:rPr>
          <w:rFonts w:ascii="Arial" w:eastAsia="Calibri" w:hAnsi="Arial"/>
          <w:szCs w:val="22"/>
        </w:rPr>
        <w:t xml:space="preserve">The department affirms that the collection and handling of applications and personal information will be consistent with the requirements of the </w:t>
      </w:r>
      <w:r w:rsidRPr="001B1027">
        <w:rPr>
          <w:rFonts w:ascii="Arial" w:hAnsi="Arial"/>
          <w:i/>
          <w:iCs/>
          <w:color w:val="000000"/>
          <w:szCs w:val="22"/>
        </w:rPr>
        <w:t>Privacy and Data Protection Act 2014.</w:t>
      </w:r>
    </w:p>
    <w:p w14:paraId="6248FCB5" w14:textId="77777777" w:rsidR="00CA3DB8" w:rsidRPr="001B1027" w:rsidRDefault="00CA3DB8" w:rsidP="00CA3DB8">
      <w:pPr>
        <w:pStyle w:val="BodyTextIndent"/>
        <w:spacing w:before="120"/>
        <w:ind w:left="0"/>
        <w:rPr>
          <w:rFonts w:ascii="Arial" w:hAnsi="Arial" w:cs="Arial"/>
          <w:szCs w:val="22"/>
        </w:rPr>
      </w:pPr>
    </w:p>
    <w:p w14:paraId="6248FCB6" w14:textId="77777777" w:rsidR="00CA3DB8" w:rsidRPr="001B1027" w:rsidRDefault="00CA3DB8" w:rsidP="00CA3DB8">
      <w:pPr>
        <w:pStyle w:val="BodyTextIndent"/>
        <w:spacing w:before="120"/>
        <w:ind w:left="0"/>
        <w:rPr>
          <w:rFonts w:ascii="Arial" w:hAnsi="Arial" w:cs="Arial"/>
          <w:sz w:val="28"/>
          <w:szCs w:val="28"/>
        </w:rPr>
      </w:pPr>
      <w:r w:rsidRPr="001B1027">
        <w:rPr>
          <w:rFonts w:ascii="Arial" w:hAnsi="Arial" w:cs="Arial"/>
          <w:sz w:val="28"/>
          <w:szCs w:val="28"/>
        </w:rPr>
        <w:t xml:space="preserve">If you would like to receive this information/publication in an accessible format (such as large print or audio) please call the Customer Service Centre on: 136 186, TTY: 133 677, or email </w:t>
      </w:r>
      <w:hyperlink r:id="rId14" w:history="1">
        <w:r w:rsidRPr="001B1027">
          <w:rPr>
            <w:rStyle w:val="Hyperlink"/>
            <w:rFonts w:ascii="Arial" w:eastAsiaTheme="majorEastAsia" w:hAnsi="Arial" w:cs="Arial"/>
            <w:szCs w:val="28"/>
          </w:rPr>
          <w:t>customer.service@delwp.vic.gov.au</w:t>
        </w:r>
      </w:hyperlink>
      <w:r w:rsidRPr="001B1027">
        <w:rPr>
          <w:rFonts w:ascii="Arial" w:hAnsi="Arial" w:cs="Arial"/>
          <w:sz w:val="28"/>
          <w:szCs w:val="28"/>
        </w:rPr>
        <w:t xml:space="preserve"> .</w:t>
      </w:r>
    </w:p>
    <w:sectPr w:rsidR="00CA3DB8" w:rsidRPr="001B1027" w:rsidSect="00ED6B06">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851" w:bottom="1134" w:left="851" w:header="284" w:footer="283"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FCC2" w14:textId="77777777" w:rsidR="00CA3DB8" w:rsidRDefault="00CA3DB8">
      <w:r>
        <w:separator/>
      </w:r>
    </w:p>
    <w:p w14:paraId="6248FCC3" w14:textId="77777777" w:rsidR="00CA3DB8" w:rsidRDefault="00CA3DB8"/>
    <w:p w14:paraId="6248FCC4" w14:textId="77777777" w:rsidR="00CA3DB8" w:rsidRDefault="00CA3DB8"/>
  </w:endnote>
  <w:endnote w:type="continuationSeparator" w:id="0">
    <w:p w14:paraId="6248FCC5" w14:textId="77777777" w:rsidR="00CA3DB8" w:rsidRDefault="00CA3DB8">
      <w:r>
        <w:continuationSeparator/>
      </w:r>
    </w:p>
    <w:p w14:paraId="6248FCC6" w14:textId="77777777" w:rsidR="00CA3DB8" w:rsidRDefault="00CA3DB8"/>
    <w:p w14:paraId="6248FCC7" w14:textId="77777777" w:rsidR="00CA3DB8" w:rsidRDefault="00CA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50538" w14:paraId="6248FCD4" w14:textId="77777777" w:rsidTr="00674EEB">
      <w:trPr>
        <w:trHeight w:val="397"/>
      </w:trPr>
      <w:tc>
        <w:tcPr>
          <w:tcW w:w="340" w:type="dxa"/>
        </w:tcPr>
        <w:p w14:paraId="6248FCD1" w14:textId="51287303" w:rsidR="00250538" w:rsidRPr="00CA3DB8" w:rsidRDefault="00250538" w:rsidP="00250538">
          <w:pPr>
            <w:pStyle w:val="FooterEvenPageNumber"/>
            <w:framePr w:wrap="auto" w:vAnchor="margin" w:hAnchor="text" w:yAlign="inline"/>
            <w:rPr>
              <w:szCs w:val="16"/>
            </w:rPr>
          </w:pPr>
          <w:r w:rsidRPr="00CA3DB8">
            <w:rPr>
              <w:szCs w:val="16"/>
            </w:rPr>
            <w:fldChar w:fldCharType="begin"/>
          </w:r>
          <w:r w:rsidRPr="00CA3DB8">
            <w:rPr>
              <w:szCs w:val="16"/>
            </w:rPr>
            <w:instrText xml:space="preserve"> PAGE   \* MERGEFORMAT </w:instrText>
          </w:r>
          <w:r w:rsidRPr="00CA3DB8">
            <w:rPr>
              <w:szCs w:val="16"/>
            </w:rPr>
            <w:fldChar w:fldCharType="separate"/>
          </w:r>
          <w:r w:rsidR="00CC084A">
            <w:rPr>
              <w:noProof/>
              <w:szCs w:val="16"/>
            </w:rPr>
            <w:t>4</w:t>
          </w:r>
          <w:r w:rsidRPr="00CA3DB8">
            <w:rPr>
              <w:szCs w:val="16"/>
            </w:rPr>
            <w:fldChar w:fldCharType="end"/>
          </w:r>
        </w:p>
      </w:tc>
      <w:tc>
        <w:tcPr>
          <w:tcW w:w="9071" w:type="dxa"/>
        </w:tcPr>
        <w:p w14:paraId="6248FCD2" w14:textId="0515A7F2" w:rsidR="00ED6B06" w:rsidRPr="005A5836" w:rsidRDefault="00ED6B06" w:rsidP="00ED6B06">
          <w:pPr>
            <w:pStyle w:val="zFooterURL"/>
            <w:ind w:left="0" w:firstLine="0"/>
            <w:jc w:val="center"/>
            <w:rPr>
              <w:color w:val="50CAC4" w:themeColor="accent5" w:themeShade="BF"/>
            </w:rPr>
          </w:pPr>
          <w:r>
            <w:rPr>
              <w:rFonts w:asciiTheme="minorHAnsi" w:hAnsiTheme="minorHAnsi" w:cstheme="minorHAnsi"/>
              <w:color w:val="50CAC4" w:themeColor="accent5" w:themeShade="BF"/>
              <w:sz w:val="16"/>
              <w:szCs w:val="16"/>
            </w:rPr>
            <w:t>Version 2</w:t>
          </w:r>
          <w:r w:rsidR="00241B78">
            <w:rPr>
              <w:rFonts w:asciiTheme="minorHAnsi" w:hAnsiTheme="minorHAnsi" w:cstheme="minorHAnsi"/>
              <w:color w:val="50CAC4" w:themeColor="accent5" w:themeShade="BF"/>
              <w:sz w:val="16"/>
              <w:szCs w:val="16"/>
            </w:rPr>
            <w:t>.</w:t>
          </w:r>
          <w:r w:rsidR="00062615">
            <w:rPr>
              <w:rFonts w:asciiTheme="minorHAnsi" w:hAnsiTheme="minorHAnsi" w:cstheme="minorHAnsi"/>
              <w:color w:val="50CAC4" w:themeColor="accent5" w:themeShade="BF"/>
              <w:sz w:val="16"/>
              <w:szCs w:val="16"/>
            </w:rPr>
            <w:t>3</w:t>
          </w:r>
          <w:r>
            <w:rPr>
              <w:rFonts w:asciiTheme="minorHAnsi" w:hAnsiTheme="minorHAnsi" w:cstheme="minorHAnsi"/>
              <w:color w:val="50CAC4" w:themeColor="accent5" w:themeShade="BF"/>
              <w:sz w:val="16"/>
              <w:szCs w:val="16"/>
            </w:rPr>
            <w:t xml:space="preserve"> – </w:t>
          </w:r>
          <w:r w:rsidR="00062615">
            <w:rPr>
              <w:rFonts w:asciiTheme="minorHAnsi" w:hAnsiTheme="minorHAnsi" w:cstheme="minorHAnsi"/>
              <w:color w:val="50CAC4" w:themeColor="accent5" w:themeShade="BF"/>
              <w:sz w:val="16"/>
              <w:szCs w:val="16"/>
            </w:rPr>
            <w:t xml:space="preserve">21 </w:t>
          </w:r>
          <w:r w:rsidR="00FA670D">
            <w:rPr>
              <w:rFonts w:asciiTheme="minorHAnsi" w:hAnsiTheme="minorHAnsi" w:cstheme="minorHAnsi"/>
              <w:color w:val="50CAC4" w:themeColor="accent5" w:themeShade="BF"/>
              <w:sz w:val="16"/>
              <w:szCs w:val="16"/>
            </w:rPr>
            <w:t xml:space="preserve">February </w:t>
          </w:r>
          <w:r w:rsidR="00277483">
            <w:rPr>
              <w:rFonts w:asciiTheme="minorHAnsi" w:hAnsiTheme="minorHAnsi" w:cstheme="minorHAnsi"/>
              <w:color w:val="50CAC4" w:themeColor="accent5" w:themeShade="BF"/>
              <w:sz w:val="16"/>
              <w:szCs w:val="16"/>
            </w:rPr>
            <w:t>2018</w:t>
          </w:r>
        </w:p>
        <w:p w14:paraId="6248FCD3" w14:textId="77777777" w:rsidR="00250538" w:rsidRPr="00CA3DB8" w:rsidRDefault="00250538" w:rsidP="00CA3DB8">
          <w:pPr>
            <w:jc w:val="right"/>
            <w:rPr>
              <w:sz w:val="16"/>
              <w:szCs w:val="16"/>
            </w:rPr>
          </w:pPr>
        </w:p>
      </w:tc>
    </w:tr>
  </w:tbl>
  <w:p w14:paraId="6248FCD5" w14:textId="77777777" w:rsidR="00250538" w:rsidRDefault="00250538" w:rsidP="00250538">
    <w:pPr>
      <w:pStyle w:val="FooterEven"/>
    </w:pPr>
    <w:r w:rsidRPr="00D55628">
      <w:rPr>
        <w:noProof/>
      </w:rPr>
      <mc:AlternateContent>
        <mc:Choice Requires="wps">
          <w:drawing>
            <wp:anchor distT="0" distB="0" distL="114300" distR="114300" simplePos="0" relativeHeight="251659776" behindDoc="1" locked="1" layoutInCell="1" allowOverlap="1" wp14:anchorId="6248FCEB" wp14:editId="6A13C1B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FCFD"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FCEB"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6248FCFD"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6248FCD6" w14:textId="77777777"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6248FCD9" w14:textId="77777777" w:rsidTr="00674EEB">
      <w:trPr>
        <w:trHeight w:val="397"/>
      </w:trPr>
      <w:tc>
        <w:tcPr>
          <w:tcW w:w="9071" w:type="dxa"/>
        </w:tcPr>
        <w:p w14:paraId="6248FCD7" w14:textId="77777777" w:rsidR="00250538" w:rsidRPr="00CB1FB7" w:rsidRDefault="00250538" w:rsidP="00CA3DB8">
          <w:pPr>
            <w:pStyle w:val="FooterOdd"/>
            <w:jc w:val="left"/>
            <w:rPr>
              <w:b/>
            </w:rPr>
          </w:pPr>
        </w:p>
      </w:tc>
      <w:tc>
        <w:tcPr>
          <w:tcW w:w="340" w:type="dxa"/>
        </w:tcPr>
        <w:p w14:paraId="6248FCD8" w14:textId="65E7AA06"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CC084A">
            <w:rPr>
              <w:noProof/>
            </w:rPr>
            <w:t>3</w:t>
          </w:r>
          <w:r w:rsidRPr="00D55628">
            <w:fldChar w:fldCharType="end"/>
          </w:r>
        </w:p>
      </w:tc>
    </w:tr>
  </w:tbl>
  <w:p w14:paraId="6248FCDA" w14:textId="77777777" w:rsidR="00250538" w:rsidRDefault="00250538" w:rsidP="00250538">
    <w:pPr>
      <w:pStyle w:val="Footer"/>
    </w:pPr>
    <w:r w:rsidRPr="00D55628">
      <w:rPr>
        <w:noProof/>
      </w:rPr>
      <mc:AlternateContent>
        <mc:Choice Requires="wps">
          <w:drawing>
            <wp:anchor distT="0" distB="0" distL="114300" distR="114300" simplePos="0" relativeHeight="251656704" behindDoc="1" locked="1" layoutInCell="1" allowOverlap="1" wp14:anchorId="6248FCED" wp14:editId="41E5D3BA">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FCF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FCE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14:paraId="6248FCF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6248FCDB" w14:textId="77777777" w:rsidR="00A209C4" w:rsidRDefault="00A209C4" w:rsidP="00213C82">
    <w:pPr>
      <w:pStyle w:val="Footer"/>
    </w:pPr>
    <w:r w:rsidRPr="00D55628">
      <w:rPr>
        <w:noProof/>
      </w:rPr>
      <mc:AlternateContent>
        <mc:Choice Requires="wps">
          <w:drawing>
            <wp:anchor distT="0" distB="0" distL="114300" distR="114300" simplePos="0" relativeHeight="251652608" behindDoc="1" locked="1" layoutInCell="1" allowOverlap="1" wp14:anchorId="6248FCEF" wp14:editId="28F8642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FCF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FCEF" id="_x0000_s1028"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6248FCF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FCDD" w14:textId="5CED30CB" w:rsidR="00250538" w:rsidRDefault="00250538" w:rsidP="0025053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24B88">
      <w:rPr>
        <w:noProof/>
      </w:rPr>
      <w:t>2018</w:t>
    </w:r>
    <w:r>
      <w:fldChar w:fldCharType="end"/>
    </w:r>
  </w:p>
  <w:p w14:paraId="6248FCDE" w14:textId="77777777" w:rsidR="00A209C4" w:rsidRDefault="00A209C4" w:rsidP="00250538">
    <w:pPr>
      <w:pStyle w:val="Footer"/>
      <w:spacing w:before="1080"/>
    </w:pPr>
    <w:r>
      <w:rPr>
        <w:noProof/>
        <w:sz w:val="18"/>
      </w:rPr>
      <mc:AlternateContent>
        <mc:Choice Requires="wps">
          <w:drawing>
            <wp:anchor distT="0" distB="0" distL="114300" distR="114300" simplePos="0" relativeHeight="251661824" behindDoc="0" locked="1" layoutInCell="1" allowOverlap="1" wp14:anchorId="6248FCF9" wp14:editId="0671638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8FD00"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8FCF9" id="_x0000_t202" coordsize="21600,21600" o:spt="202" path="m,l,21600r21600,l21600,xe">
              <v:stroke joinstyle="miter"/>
              <v:path gradientshapeok="t" o:connecttype="rect"/>
            </v:shapetype>
            <v:shape id="WebAddress" o:spid="_x0000_s1029" type="#_x0000_t202" style="position:absolute;margin-left:0;margin-top:0;width:303pt;height:56.7pt;z-index:2516618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14:paraId="6248FD00"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6248FCFB" wp14:editId="47044A39">
          <wp:simplePos x="0" y="0"/>
          <wp:positionH relativeFrom="page">
            <wp:align>right</wp:align>
          </wp:positionH>
          <wp:positionV relativeFrom="page">
            <wp:align>bottom</wp:align>
          </wp:positionV>
          <wp:extent cx="2422800" cy="108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FCBA" w14:textId="77777777" w:rsidR="00CA3DB8" w:rsidRPr="008F5280" w:rsidRDefault="00CA3DB8" w:rsidP="008F5280">
      <w:pPr>
        <w:pStyle w:val="FootnoteSeparator"/>
      </w:pPr>
    </w:p>
    <w:p w14:paraId="6248FCBB" w14:textId="77777777" w:rsidR="00CA3DB8" w:rsidRDefault="00CA3DB8"/>
  </w:footnote>
  <w:footnote w:type="continuationSeparator" w:id="0">
    <w:p w14:paraId="6248FCBC" w14:textId="77777777" w:rsidR="00CA3DB8" w:rsidRDefault="00CA3DB8" w:rsidP="008F5280">
      <w:pPr>
        <w:pStyle w:val="FootnoteSeparator"/>
      </w:pPr>
    </w:p>
    <w:p w14:paraId="6248FCBD" w14:textId="77777777" w:rsidR="00CA3DB8" w:rsidRDefault="00CA3DB8"/>
    <w:p w14:paraId="6248FCBE" w14:textId="77777777" w:rsidR="00CA3DB8" w:rsidRDefault="00CA3DB8"/>
  </w:footnote>
  <w:footnote w:type="continuationNotice" w:id="1">
    <w:p w14:paraId="6248FCBF" w14:textId="77777777" w:rsidR="00CA3DB8" w:rsidRDefault="00CA3DB8" w:rsidP="00D55628"/>
    <w:p w14:paraId="6248FCC0" w14:textId="77777777" w:rsidR="00CA3DB8" w:rsidRDefault="00CA3DB8"/>
    <w:p w14:paraId="6248FCC1" w14:textId="77777777" w:rsidR="00CA3DB8" w:rsidRDefault="00CA3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6248FCC9" w14:textId="77777777" w:rsidTr="00920652">
      <w:trPr>
        <w:trHeight w:hRule="exact" w:val="1418"/>
      </w:trPr>
      <w:tc>
        <w:tcPr>
          <w:tcW w:w="7761" w:type="dxa"/>
          <w:vAlign w:val="center"/>
        </w:tcPr>
        <w:p w14:paraId="6248FCC8" w14:textId="77777777" w:rsidR="00A209C4" w:rsidRPr="00975ED3" w:rsidRDefault="00CA3DB8" w:rsidP="00920652">
          <w:pPr>
            <w:pStyle w:val="Header"/>
          </w:pPr>
          <w:r>
            <w:t>Position Description</w:t>
          </w:r>
        </w:p>
      </w:tc>
    </w:tr>
  </w:tbl>
  <w:p w14:paraId="6248FCCA"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4896" behindDoc="1" locked="0" layoutInCell="1" allowOverlap="1" wp14:anchorId="6248FCDF" wp14:editId="7FEB615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AE68B"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A4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6248FCE1" wp14:editId="04013D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417B5" id="TriangleLeft" o:spid="_x0000_s1026" style="position:absolute;margin-left:22.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6248FCE3" wp14:editId="3EA0AEF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27D525" id="Rectangle" o:spid="_x0000_s1026" style="position:absolute;margin-left:22.7pt;margin-top:22.7pt;width:552.7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248FCCB"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14:paraId="6248FCCD" w14:textId="77777777" w:rsidTr="00674EEB">
      <w:trPr>
        <w:trHeight w:hRule="exact" w:val="1418"/>
      </w:trPr>
      <w:tc>
        <w:tcPr>
          <w:tcW w:w="7761" w:type="dxa"/>
          <w:vAlign w:val="center"/>
        </w:tcPr>
        <w:p w14:paraId="6248FCCC" w14:textId="77777777" w:rsidR="00250538" w:rsidRPr="00975ED3" w:rsidRDefault="009339C3" w:rsidP="00250538">
          <w:pPr>
            <w:pStyle w:val="Header"/>
          </w:pPr>
          <w:r>
            <w:t>Position Description</w:t>
          </w:r>
        </w:p>
      </w:tc>
    </w:tr>
  </w:tbl>
  <w:p w14:paraId="6248FCCE" w14:textId="77777777" w:rsidR="00250538" w:rsidRPr="00E97294" w:rsidRDefault="00250538" w:rsidP="00250538">
    <w:pPr>
      <w:pStyle w:val="Header"/>
    </w:pPr>
    <w:r w:rsidRPr="00806AB6">
      <w:rPr>
        <w:noProof/>
      </w:rPr>
      <mc:AlternateContent>
        <mc:Choice Requires="wps">
          <w:drawing>
            <wp:anchor distT="0" distB="0" distL="114300" distR="114300" simplePos="0" relativeHeight="251658752" behindDoc="1" locked="0" layoutInCell="1" allowOverlap="1" wp14:anchorId="6248FCE5" wp14:editId="3565094E">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5E61F"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248FCE7" wp14:editId="0022CB6F">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651D0"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6248FCE9" wp14:editId="51E3097C">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A0B2BC"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248FCCF" w14:textId="77777777" w:rsidR="00250538" w:rsidRDefault="00250538" w:rsidP="00250538">
    <w:pPr>
      <w:pStyle w:val="Header"/>
    </w:pPr>
  </w:p>
  <w:p w14:paraId="6248FCD0"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FCDC"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3632" behindDoc="1" locked="0" layoutInCell="1" allowOverlap="1" wp14:anchorId="6248FCF1" wp14:editId="5C27275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09AB0"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6248FCF3" wp14:editId="651D72D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2D478" id="TriangleBottom" o:spid="_x0000_s1026" style="position:absolute;margin-left:56.7pt;margin-top:93.55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66d1cb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6248FCF5" wp14:editId="35CBCFC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ED5C4"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6248FCF7" wp14:editId="66EF53D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555325"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1ED996"/>
    <w:lvl w:ilvl="0">
      <w:numFmt w:val="bullet"/>
      <w:lvlText w:val="*"/>
      <w:lvlJc w:val="left"/>
    </w:lvl>
  </w:abstractNum>
  <w:abstractNum w:abstractNumId="11" w15:restartNumberingAfterBreak="0">
    <w:nsid w:val="05BE6853"/>
    <w:multiLevelType w:val="hybridMultilevel"/>
    <w:tmpl w:val="9FE45CA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E726909"/>
    <w:multiLevelType w:val="hybridMultilevel"/>
    <w:tmpl w:val="821279B8"/>
    <w:lvl w:ilvl="0" w:tplc="AA9C0986">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15:restartNumberingAfterBreak="0">
    <w:nsid w:val="19AB796A"/>
    <w:multiLevelType w:val="hybridMultilevel"/>
    <w:tmpl w:val="566AB5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A75006"/>
    <w:multiLevelType w:val="hybridMultilevel"/>
    <w:tmpl w:val="572CB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545EC4"/>
    <w:multiLevelType w:val="multilevel"/>
    <w:tmpl w:val="B2366F7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68A03C7"/>
    <w:multiLevelType w:val="hybridMultilevel"/>
    <w:tmpl w:val="13A02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33"/>
  </w:num>
  <w:num w:numId="3">
    <w:abstractNumId w:val="29"/>
  </w:num>
  <w:num w:numId="4">
    <w:abstractNumId w:val="37"/>
  </w:num>
  <w:num w:numId="5">
    <w:abstractNumId w:val="19"/>
  </w:num>
  <w:num w:numId="6">
    <w:abstractNumId w:val="15"/>
  </w:num>
  <w:num w:numId="7">
    <w:abstractNumId w:val="13"/>
  </w:num>
  <w:num w:numId="8">
    <w:abstractNumId w:val="12"/>
  </w:num>
  <w:num w:numId="9">
    <w:abstractNumId w:val="34"/>
  </w:num>
  <w:num w:numId="10">
    <w:abstractNumId w:val="16"/>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3"/>
  </w:num>
  <w:num w:numId="30">
    <w:abstractNumId w:val="35"/>
  </w:num>
  <w:num w:numId="31">
    <w:abstractNumId w:val="8"/>
  </w:num>
  <w:num w:numId="32">
    <w:abstractNumId w:val="32"/>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4"/>
  </w:num>
  <w:num w:numId="44">
    <w:abstractNumId w:val="10"/>
    <w:lvlOverride w:ilvl="0">
      <w:lvl w:ilvl="0">
        <w:numFmt w:val="bullet"/>
        <w:lvlText w:val="•"/>
        <w:legacy w:legacy="1" w:legacySpace="0" w:legacyIndent="0"/>
        <w:lvlJc w:val="left"/>
        <w:rPr>
          <w:rFonts w:ascii="Helv" w:hAnsi="Helv" w:hint="default"/>
        </w:rPr>
      </w:lvl>
    </w:lvlOverride>
  </w:num>
  <w:num w:numId="45">
    <w:abstractNumId w:val="24"/>
  </w:num>
  <w:num w:numId="46">
    <w:abstractNumId w:val="17"/>
  </w:num>
  <w:num w:numId="47">
    <w:abstractNumId w:val="11"/>
  </w:num>
  <w:num w:numId="4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276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Services"/>
    <w:docVar w:name="TOC" w:val="True"/>
    <w:docVar w:name="TOCNew" w:val="True"/>
    <w:docVar w:name="Version" w:val="1"/>
  </w:docVars>
  <w:rsids>
    <w:rsidRoot w:val="00CA3DB8"/>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B1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15"/>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DB0"/>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91D"/>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C4E"/>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3E4"/>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78"/>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483"/>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4D3B"/>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AC2"/>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410"/>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8E9"/>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C7B"/>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3"/>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8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9C3"/>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F68"/>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BCB"/>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5ED"/>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14D"/>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5A21"/>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DB8"/>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84A"/>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C9A"/>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98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C4E"/>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B06"/>
    <w:rsid w:val="00ED6D45"/>
    <w:rsid w:val="00ED744E"/>
    <w:rsid w:val="00ED750B"/>
    <w:rsid w:val="00ED7CF4"/>
    <w:rsid w:val="00ED7D94"/>
    <w:rsid w:val="00ED7EFF"/>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ABF"/>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2FB"/>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70D"/>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style="mso-position-horizontal-relative:page;mso-position-vertical-relative:page" stroke="f">
      <v:stroke on="f"/>
      <o:colormru v:ext="edit" colors="white"/>
    </o:shapedefaults>
    <o:shapelayout v:ext="edit">
      <o:idmap v:ext="edit" data="1"/>
    </o:shapelayout>
  </w:shapeDefaults>
  <w:decimalSymbol w:val="."/>
  <w:listSeparator w:val=","/>
  <w14:docId w14:val="6248FC33"/>
  <w15:docId w15:val="{A0E081E1-2E7B-477E-938D-C6BC28C1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Indent">
    <w:name w:val="Body Text Indent"/>
    <w:basedOn w:val="Normal"/>
    <w:link w:val="BodyTextIndentChar"/>
    <w:semiHidden/>
    <w:rsid w:val="00CA3DB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CA3DB8"/>
    <w:rPr>
      <w:rFonts w:ascii="Calibri" w:hAnsi="Calibri" w:cs="Times New Roman"/>
      <w:color w:val="auto"/>
      <w:sz w:val="22"/>
      <w:szCs w:val="24"/>
      <w:lang w:eastAsia="en-US"/>
    </w:rPr>
  </w:style>
  <w:style w:type="paragraph" w:customStyle="1" w:styleId="DTPLIintrotext">
    <w:name w:val="DTPLI intro text"/>
    <w:basedOn w:val="Normal"/>
    <w:next w:val="DTPLIbodycopy"/>
    <w:qFormat/>
    <w:rsid w:val="00CA3DB8"/>
    <w:pPr>
      <w:spacing w:before="240" w:after="240" w:line="240" w:lineRule="auto"/>
      <w:ind w:right="-2"/>
    </w:pPr>
    <w:rPr>
      <w:rFonts w:ascii="Tahoma" w:hAnsi="Tahoma"/>
      <w:b/>
      <w:color w:val="797166"/>
      <w:sz w:val="24"/>
    </w:rPr>
  </w:style>
  <w:style w:type="paragraph" w:customStyle="1" w:styleId="DTPLIbodycopy">
    <w:name w:val="DTPLI body copy"/>
    <w:basedOn w:val="Normal"/>
    <w:qFormat/>
    <w:rsid w:val="00CA3DB8"/>
    <w:pPr>
      <w:spacing w:after="120" w:line="240" w:lineRule="auto"/>
      <w:ind w:right="-2"/>
    </w:pPr>
    <w:rPr>
      <w:rFonts w:ascii="Tahoma" w:hAnsi="Tahoma"/>
      <w:color w:val="auto"/>
      <w:sz w:val="18"/>
    </w:rPr>
  </w:style>
  <w:style w:type="paragraph" w:customStyle="1" w:styleId="DTPLIheadinggreen">
    <w:name w:val="DTPLI heading green"/>
    <w:basedOn w:val="Normal"/>
    <w:next w:val="DTPLIintrotext"/>
    <w:qFormat/>
    <w:rsid w:val="00CA3DB8"/>
    <w:pPr>
      <w:keepNext/>
      <w:spacing w:before="480" w:after="120" w:line="240" w:lineRule="auto"/>
      <w:ind w:right="-2"/>
    </w:pPr>
    <w:rPr>
      <w:rFonts w:ascii="Tahoma" w:hAnsi="Tahoma"/>
      <w:color w:val="57A84C"/>
      <w:sz w:val="30"/>
    </w:rPr>
  </w:style>
  <w:style w:type="paragraph" w:customStyle="1" w:styleId="DTPLIheadingtopcolumngreen">
    <w:name w:val="DTPLI heading top column green"/>
    <w:basedOn w:val="Normal"/>
    <w:qFormat/>
    <w:rsid w:val="00CA3DB8"/>
    <w:pPr>
      <w:keepNext/>
      <w:spacing w:after="120" w:line="240" w:lineRule="auto"/>
    </w:pPr>
    <w:rPr>
      <w:rFonts w:ascii="Verdana" w:hAnsi="Verdana" w:cs="Times New Roman"/>
      <w:color w:val="57A84C"/>
      <w:sz w:val="30"/>
    </w:rPr>
  </w:style>
  <w:style w:type="paragraph" w:customStyle="1" w:styleId="Instructions">
    <w:name w:val="Instructions"/>
    <w:locked/>
    <w:rsid w:val="00CA3DB8"/>
    <w:pPr>
      <w:spacing w:before="240" w:after="160"/>
    </w:pPr>
    <w:rPr>
      <w:rFonts w:ascii="Verdana" w:hAnsi="Verdana" w:cs="Times New Roman"/>
      <w:color w:val="0000FF"/>
      <w:szCs w:val="24"/>
    </w:rPr>
  </w:style>
  <w:style w:type="paragraph" w:customStyle="1" w:styleId="zFooterURL">
    <w:name w:val="_zFooterURL"/>
    <w:rsid w:val="00ED6B06"/>
    <w:pPr>
      <w:spacing w:line="240" w:lineRule="auto"/>
      <w:ind w:left="-34" w:hanging="694"/>
    </w:pPr>
    <w:rPr>
      <w:rFonts w:ascii="Arial" w:hAnsi="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ustomer.service@delwp.vic.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42\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201547"/>
      </a:accent2>
      <a:accent3>
        <a:srgbClr val="66D1CB"/>
      </a:accent3>
      <a:accent4>
        <a:srgbClr val="797391"/>
      </a:accent4>
      <a:accent5>
        <a:srgbClr val="99E0DD"/>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2517F445A0F35E449C98AAD631F2B0385D01"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ct:contentTypeSchema xmlns:ct="http://schemas.microsoft.com/office/2006/metadata/contentType" xmlns:ma="http://schemas.microsoft.com/office/2006/metadata/properties/metaAttributes" ct:_="" ma:_="" ma:contentTypeName="Budget" ma:contentTypeID="0x0101002517F445A0F35E449C98AAD631F2B0385D010052FB6F05AE5EC140B3DC187386FBD5F0" ma:contentTypeVersion="12" ma:contentTypeDescription="Use only for working and supporting documents, e.g. Approvals etc.  All actual budgets reside within the BMS" ma:contentTypeScope="" ma:versionID="aafa3edbd948c9ae8ec17d050eb6caf9">
  <xsd:schema xmlns:xsd="http://www.w3.org/2001/XMLSchema" xmlns:xs="http://www.w3.org/2001/XMLSchema" xmlns:p="http://schemas.microsoft.com/office/2006/metadata/properties" xmlns:ns1="a5f32de4-e402-4188-b034-e71ca7d22e54" xmlns:ns2="http://schemas.microsoft.com/sharepoint/v3" xmlns:ns3="9fd47c19-1c4a-4d7d-b342-c10cef269344" xmlns:ns4="ba3a8e1e-44dd-4e01-adde-af1d66b9c104" targetNamespace="http://schemas.microsoft.com/office/2006/metadata/properties" ma:root="true" ma:fieldsID="51db7626f850b39c04b54086349f7697" ns1:_="" ns2:_="" ns3:_="" ns4:_="">
    <xsd:import namespace="a5f32de4-e402-4188-b034-e71ca7d22e54"/>
    <xsd:import namespace="http://schemas.microsoft.com/sharepoint/v3"/>
    <xsd:import namespace="9fd47c19-1c4a-4d7d-b342-c10cef269344"/>
    <xsd:import namespace="ba3a8e1e-44dd-4e01-adde-af1d66b9c10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Admi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e24de0c4-9834-471d-b07c-d3b4779a9570}"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e24de0c4-9834-471d-b07c-d3b4779a9570}"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7;#Partnerships and Sector Performance|e50abddd-e04d-490d-89d9-6a98999b871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3a8e1e-44dd-4e01-adde-af1d66b9c104" elementFormDefault="qualified">
    <xsd:import namespace="http://schemas.microsoft.com/office/2006/documentManagement/types"/>
    <xsd:import namespace="http://schemas.microsoft.com/office/infopath/2007/PartnerControls"/>
    <xsd:element name="Admin_x0020_Category" ma:index="31" nillable="true" ma:displayName="Admin Category" ma:format="Dropdown" ma:internalName="Admin_x0020_Category">
      <xsd:simpleType>
        <xsd:restriction base="dms:Choice">
          <xsd:enumeration value="Project Management"/>
          <xsd:enumeration value="Meetings"/>
          <xsd:enumeration value="Funding Agreements"/>
          <xsd:enumeration value="Travel"/>
          <xsd:enumeration value="Brief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Language xmlns="http://schemas.microsoft.com/sharepoint/v3"/>
    <ece32f50ba964e1fbf627a9d83fe6c01 xmlns="9fd47c19-1c4a-4d7d-b342-c10cef269344">
      <Terms xmlns="http://schemas.microsoft.com/office/infopath/2007/PartnerControl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pd01c257034b4e86b1f58279a3bd54c6>
    <n771d69a070c4babbf278c67c8a2b859 xmlns="9fd47c19-1c4a-4d7d-b342-c10cef269344">
      <Terms xmlns="http://schemas.microsoft.com/office/infopath/2007/PartnerControls"/>
    </n771d69a070c4babbf278c67c8a2b859>
    <mfe9accc5a0b4653a7b513b67ffd122d xmlns="9fd47c19-1c4a-4d7d-b342-c10cef269344">
      <Terms xmlns="http://schemas.microsoft.com/office/infopath/2007/PartnerControls"/>
    </mfe9accc5a0b4653a7b513b67ffd122d>
    <fb3179c379644f499d7166d0c985669b xmlns="9fd47c19-1c4a-4d7d-b342-c10cef269344">
      <Terms xmlns="http://schemas.microsoft.com/office/infopath/2007/PartnerControl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ic50d0a05a8e4d9791dac67f8a1e716c>
    <Admin_x0020_Category xmlns="ba3a8e1e-44dd-4e01-adde-af1d66b9c104" xsi:nil="true"/>
    <_dlc_DocId xmlns="a5f32de4-e402-4188-b034-e71ca7d22e54" xsi:nil="true"/>
    <_dlc_DocIdUrl xmlns="a5f32de4-e402-4188-b034-e71ca7d22e54">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31F3-78A7-452A-93CC-EAE687B22FAF}">
  <ds:schemaRefs>
    <ds:schemaRef ds:uri="http://schemas.microsoft.com/sharepoint/events"/>
  </ds:schemaRefs>
</ds:datastoreItem>
</file>

<file path=customXml/itemProps2.xml><?xml version="1.0" encoding="utf-8"?>
<ds:datastoreItem xmlns:ds="http://schemas.openxmlformats.org/officeDocument/2006/customXml" ds:itemID="{C767E432-605B-470E-BF0E-2BBD72526A13}">
  <ds:schemaRefs>
    <ds:schemaRef ds:uri="Microsoft.SharePoint.Taxonomy.ContentTypeSync"/>
  </ds:schemaRefs>
</ds:datastoreItem>
</file>

<file path=customXml/itemProps3.xml><?xml version="1.0" encoding="utf-8"?>
<ds:datastoreItem xmlns:ds="http://schemas.openxmlformats.org/officeDocument/2006/customXml" ds:itemID="{25FD8550-92D3-4259-A12E-D40AC9095A94}">
  <ds:schemaRefs>
    <ds:schemaRef ds:uri="http://schemas.microsoft.com/office/2006/metadata/customXsn"/>
  </ds:schemaRefs>
</ds:datastoreItem>
</file>

<file path=customXml/itemProps4.xml><?xml version="1.0" encoding="utf-8"?>
<ds:datastoreItem xmlns:ds="http://schemas.openxmlformats.org/officeDocument/2006/customXml" ds:itemID="{B374FA6A-2B32-44D0-9093-601E78938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ba3a8e1e-44dd-4e01-adde-af1d66b9c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D00A2-6B42-449B-A39F-08188DEE3FFA}">
  <ds:schemaRefs>
    <ds:schemaRef ds:uri="http://schemas.microsoft.com/sharepoint/v3"/>
    <ds:schemaRef ds:uri="http://www.w3.org/XML/1998/namespace"/>
    <ds:schemaRef ds:uri="http://schemas.microsoft.com/office/2006/metadata/properties"/>
    <ds:schemaRef ds:uri="http://purl.org/dc/terms/"/>
    <ds:schemaRef ds:uri="9fd47c19-1c4a-4d7d-b342-c10cef269344"/>
    <ds:schemaRef ds:uri="http://purl.org/dc/elements/1.1/"/>
    <ds:schemaRef ds:uri="http://purl.org/dc/dcmitype/"/>
    <ds:schemaRef ds:uri="http://schemas.microsoft.com/office/2006/documentManagement/types"/>
    <ds:schemaRef ds:uri="ba3a8e1e-44dd-4e01-adde-af1d66b9c104"/>
    <ds:schemaRef ds:uri="http://schemas.microsoft.com/office/infopath/2007/PartnerControls"/>
    <ds:schemaRef ds:uri="http://schemas.openxmlformats.org/package/2006/metadata/core-properties"/>
    <ds:schemaRef ds:uri="a5f32de4-e402-4188-b034-e71ca7d22e54"/>
  </ds:schemaRefs>
</ds:datastoreItem>
</file>

<file path=customXml/itemProps6.xml><?xml version="1.0" encoding="utf-8"?>
<ds:datastoreItem xmlns:ds="http://schemas.openxmlformats.org/officeDocument/2006/customXml" ds:itemID="{E19FFC09-4919-40EB-B5FE-18AF9A51CDCF}">
  <ds:schemaRefs>
    <ds:schemaRef ds:uri="http://schemas.microsoft.com/sharepoint/v3/contenttype/forms"/>
  </ds:schemaRefs>
</ds:datastoreItem>
</file>

<file path=customXml/itemProps7.xml><?xml version="1.0" encoding="utf-8"?>
<ds:datastoreItem xmlns:ds="http://schemas.openxmlformats.org/officeDocument/2006/customXml" ds:itemID="{AD85A24F-8E74-44EB-8DE1-3B752820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Template>
  <TotalTime>4</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Recruitment - Position Description Template</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Description Template</dc:title>
  <dc:creator>Kathryn Parker</dc:creator>
  <cp:lastModifiedBy>Rowena Woods (DELWP)</cp:lastModifiedBy>
  <cp:revision>5</cp:revision>
  <cp:lastPrinted>2016-09-08T07:20:00Z</cp:lastPrinted>
  <dcterms:created xsi:type="dcterms:W3CDTF">2018-06-20T22:02:00Z</dcterms:created>
  <dcterms:modified xsi:type="dcterms:W3CDTF">2018-06-20T22:07:00Z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0x0101002517F445A0F35E449C98AAD631F2B0385D010052FB6F05AE5EC140B3DC187386FBD5F0</vt:lpwstr>
  </property>
  <property fmtid="{D5CDD505-2E9C-101B-9397-08002B2CF9AE}" pid="19" name="AdaAskAdaKeyword">
    <vt:lpwstr>91;#Recruiting someone to your team|f7744592-b315-4d8e-a76c-334f2b802bf1;#164;#Grade review|f7ad65ac-03ab-486a-9d79-d2a18ebc3522;#138;#Student interns|64cffe4a-5ed8-4613-901d-4715e00cad1e;#180;#Expression of interest to fill a vacancy|6d398fea-abd8-4137-b</vt:lpwstr>
  </property>
  <property fmtid="{D5CDD505-2E9C-101B-9397-08002B2CF9AE}" pid="20" name="AdaRegion">
    <vt:lpwstr/>
  </property>
  <property fmtid="{D5CDD505-2E9C-101B-9397-08002B2CF9AE}" pid="21" name="AdaOwningGroup">
    <vt:lpwstr>18;#People and Culture|4fe8dd26-179b-41a1-8a74-1f09d81ad67a</vt:lpwstr>
  </property>
  <property fmtid="{D5CDD505-2E9C-101B-9397-08002B2CF9AE}" pid="22" name="Section">
    <vt:lpwstr/>
  </property>
  <property fmtid="{D5CDD505-2E9C-101B-9397-08002B2CF9AE}" pid="23" name="Sub-Section">
    <vt:lpwstr/>
  </property>
  <property fmtid="{D5CDD505-2E9C-101B-9397-08002B2CF9AE}" pid="24" name="Agency">
    <vt:lpwstr>1;#Department of Environment, Land, Water and Planning|607a3f87-1228-4cd9-82a5-076aa8776274</vt:lpwstr>
  </property>
  <property fmtid="{D5CDD505-2E9C-101B-9397-08002B2CF9AE}" pid="25" name="Branch">
    <vt:lpwstr>26;#Policy Partnerships|04943542-997c-4353-956d-23495d9bbd90</vt:lpwstr>
  </property>
  <property fmtid="{D5CDD505-2E9C-101B-9397-08002B2CF9AE}" pid="26" name="Division">
    <vt:lpwstr>7;#Partnerships and Sector Performance|e50abddd-e04d-490d-89d9-6a98999b871a</vt:lpwstr>
  </property>
  <property fmtid="{D5CDD505-2E9C-101B-9397-08002B2CF9AE}" pid="27" name="Dissemination Limiting Marker">
    <vt:lpwstr>2;#FOUO|955eb6fc-b35a-4808-8aa5-31e514fa3f26</vt:lpwstr>
  </property>
  <property fmtid="{D5CDD505-2E9C-101B-9397-08002B2CF9AE}" pid="28" name="Group1">
    <vt:lpwstr>6;#Water and Catchments|04babe5f-fe90-4982-9f33-c4fc8f4bb63f</vt:lpwstr>
  </property>
  <property fmtid="{D5CDD505-2E9C-101B-9397-08002B2CF9AE}" pid="29" name="Security Classification">
    <vt:lpwstr>3;#Unclassified|7fa379f4-4aba-4692-ab80-7d39d3a23cf4</vt:lpwstr>
  </property>
  <property fmtid="{D5CDD505-2E9C-101B-9397-08002B2CF9AE}" pid="30" name="_dlc_DocIdItemGuid">
    <vt:lpwstr>04850c5b-dc9b-4560-ba33-9da595cc896d</vt:lpwstr>
  </property>
  <property fmtid="{D5CDD505-2E9C-101B-9397-08002B2CF9AE}" pid="31" name="SharedWithUsers">
    <vt:lpwstr>123;#Jessica Freame (DELWP);#45;#Lisa Hocking (DELWP);#42;#Sabrina T Teodorowski (DELWP)</vt:lpwstr>
  </property>
</Properties>
</file>