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C3" w:rsidRDefault="009339C3"/>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rsidTr="00250538">
        <w:trPr>
          <w:trHeight w:hRule="exact" w:val="1418"/>
        </w:trPr>
        <w:tc>
          <w:tcPr>
            <w:tcW w:w="7761" w:type="dxa"/>
            <w:vAlign w:val="center"/>
          </w:tcPr>
          <w:p w:rsidR="00975ED3" w:rsidRPr="00975ED3" w:rsidRDefault="00CA3DB8" w:rsidP="003F46E9">
            <w:pPr>
              <w:pStyle w:val="Title"/>
            </w:pPr>
            <w:r>
              <w:t>Department of Environment,</w:t>
            </w:r>
            <w:r>
              <w:br/>
              <w:t>Land, Water and Planning</w:t>
            </w:r>
          </w:p>
        </w:tc>
      </w:tr>
      <w:tr w:rsidR="00975ED3" w:rsidTr="00250538">
        <w:trPr>
          <w:trHeight w:val="1247"/>
        </w:trPr>
        <w:tc>
          <w:tcPr>
            <w:tcW w:w="7761" w:type="dxa"/>
            <w:vAlign w:val="center"/>
          </w:tcPr>
          <w:p w:rsidR="00975ED3" w:rsidRDefault="00CA3DB8" w:rsidP="003F46E9">
            <w:pPr>
              <w:pStyle w:val="Subtitle"/>
            </w:pPr>
            <w:r>
              <w:t>Position Description</w:t>
            </w:r>
          </w:p>
        </w:tc>
      </w:tr>
    </w:tbl>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654"/>
      </w:tblGrid>
      <w:tr w:rsidR="00CA3DB8" w:rsidRPr="001B1027" w:rsidTr="007912C5">
        <w:tc>
          <w:tcPr>
            <w:tcW w:w="10234" w:type="dxa"/>
            <w:gridSpan w:val="2"/>
            <w:tcBorders>
              <w:top w:val="nil"/>
              <w:left w:val="nil"/>
              <w:bottom w:val="nil"/>
              <w:right w:val="nil"/>
            </w:tcBorders>
            <w:vAlign w:val="center"/>
          </w:tcPr>
          <w:p w:rsidR="00CA3DB8" w:rsidRPr="001B1027" w:rsidRDefault="00CA3DB8" w:rsidP="007912C5">
            <w:pPr>
              <w:pStyle w:val="DTPLIheadinggreen"/>
              <w:spacing w:before="12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Position purpose</w:t>
            </w:r>
          </w:p>
          <w:p w:rsidR="00CA3DB8" w:rsidRPr="001B1027" w:rsidRDefault="00350789" w:rsidP="00C336C0">
            <w:pPr>
              <w:autoSpaceDE w:val="0"/>
              <w:autoSpaceDN w:val="0"/>
              <w:adjustRightInd w:val="0"/>
              <w:spacing w:after="120"/>
              <w:rPr>
                <w:rFonts w:ascii="Arial" w:hAnsi="Arial"/>
                <w:szCs w:val="22"/>
              </w:rPr>
            </w:pPr>
            <w:r w:rsidRPr="00C336C0">
              <w:rPr>
                <w:rFonts w:ascii="Arial" w:hAnsi="Arial"/>
                <w:color w:val="000000"/>
                <w:szCs w:val="22"/>
              </w:rPr>
              <w:t>The Policy Officer will contribute to the delivery of the Victorian Government’s ambitious climate change policy agenda. This will involve working as part of multi-disciplinary teams to develop and implement solutions to complex climate change mitigation and adaptation issues. The Policy Officer will also contribute to providing tailored and timely advice to the department’s Executive and the Minister for Environment and Climate Change.</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42"/>
        </w:trPr>
        <w:tc>
          <w:tcPr>
            <w:tcW w:w="10234" w:type="dxa"/>
            <w:gridSpan w:val="2"/>
            <w:tcBorders>
              <w:top w:val="nil"/>
              <w:bottom w:val="nil"/>
              <w:right w:val="nil"/>
            </w:tcBorders>
          </w:tcPr>
          <w:p w:rsidR="00CA3DB8" w:rsidRPr="00205FC7" w:rsidRDefault="00CA3DB8" w:rsidP="007912C5">
            <w:pPr>
              <w:pStyle w:val="DTPLIheadinggreen"/>
              <w:spacing w:before="120"/>
              <w:rPr>
                <w:rFonts w:ascii="Arial" w:hAnsi="Arial"/>
                <w:b/>
                <w:color w:val="A6A1B5" w:themeColor="accent6"/>
                <w:sz w:val="28"/>
                <w:szCs w:val="28"/>
                <w:u w:val="single"/>
                <w:lang w:eastAsia="zh-CN"/>
              </w:rPr>
            </w:pPr>
            <w:r w:rsidRPr="001B1027">
              <w:rPr>
                <w:rFonts w:ascii="Arial" w:hAnsi="Arial"/>
                <w:b/>
                <w:color w:val="C1ECEA" w:themeColor="accent5" w:themeTint="99"/>
                <w:sz w:val="28"/>
                <w:szCs w:val="28"/>
                <w:lang w:eastAsia="zh-CN"/>
              </w:rPr>
              <w:t>Position details</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Position title:</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7912C5">
            <w:pPr>
              <w:ind w:left="57" w:right="-450"/>
              <w:rPr>
                <w:rFonts w:ascii="Arial" w:hAnsi="Arial"/>
                <w:szCs w:val="22"/>
              </w:rPr>
            </w:pPr>
            <w:r>
              <w:rPr>
                <w:rFonts w:ascii="Arial" w:hAnsi="Arial"/>
                <w:szCs w:val="22"/>
              </w:rPr>
              <w:t>Policy Officer</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Position number:</w:t>
            </w:r>
          </w:p>
        </w:tc>
        <w:tc>
          <w:tcPr>
            <w:tcW w:w="7654" w:type="dxa"/>
            <w:tcBorders>
              <w:top w:val="single" w:sz="4" w:space="0" w:color="auto"/>
              <w:left w:val="single" w:sz="2" w:space="0" w:color="auto"/>
              <w:bottom w:val="single" w:sz="2" w:space="0" w:color="auto"/>
              <w:right w:val="single" w:sz="2" w:space="0" w:color="auto"/>
            </w:tcBorders>
            <w:vAlign w:val="center"/>
          </w:tcPr>
          <w:p w:rsidR="00CA3DB8" w:rsidRPr="001B1027" w:rsidRDefault="00942341" w:rsidP="007912C5">
            <w:pPr>
              <w:ind w:left="57" w:right="-450"/>
              <w:rPr>
                <w:rFonts w:ascii="Arial" w:hAnsi="Arial"/>
                <w:szCs w:val="22"/>
              </w:rPr>
            </w:pPr>
            <w:r>
              <w:rPr>
                <w:rFonts w:ascii="Arial" w:hAnsi="Arial"/>
                <w:szCs w:val="22"/>
              </w:rPr>
              <w:t>819477</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Classification:</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7912C5">
            <w:pPr>
              <w:ind w:left="57" w:right="-450"/>
              <w:rPr>
                <w:rFonts w:ascii="Arial" w:hAnsi="Arial"/>
                <w:szCs w:val="22"/>
              </w:rPr>
            </w:pPr>
            <w:r>
              <w:rPr>
                <w:rFonts w:ascii="Arial" w:hAnsi="Arial"/>
                <w:szCs w:val="22"/>
              </w:rPr>
              <w:t>VPS 3</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Salary range:</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A01F66">
            <w:pPr>
              <w:ind w:left="57" w:right="-450"/>
              <w:rPr>
                <w:rFonts w:ascii="Arial" w:hAnsi="Arial"/>
                <w:szCs w:val="22"/>
              </w:rPr>
            </w:pPr>
            <w:r>
              <w:rPr>
                <w:rFonts w:ascii="Century Gothic" w:hAnsi="Century Gothic"/>
                <w:szCs w:val="22"/>
              </w:rPr>
              <w:t>$</w:t>
            </w:r>
            <w:r w:rsidR="004B7C60">
              <w:rPr>
                <w:rFonts w:ascii="Century Gothic" w:hAnsi="Century Gothic"/>
                <w:szCs w:val="22"/>
              </w:rPr>
              <w:t>65,713 - $79,790</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Employment type:</w:t>
            </w:r>
          </w:p>
        </w:tc>
        <w:tc>
          <w:tcPr>
            <w:tcW w:w="7654" w:type="dxa"/>
            <w:tcBorders>
              <w:top w:val="single" w:sz="2" w:space="0" w:color="auto"/>
              <w:left w:val="single" w:sz="2" w:space="0" w:color="auto"/>
              <w:bottom w:val="single" w:sz="4" w:space="0" w:color="auto"/>
              <w:right w:val="single" w:sz="2" w:space="0" w:color="auto"/>
            </w:tcBorders>
            <w:vAlign w:val="center"/>
          </w:tcPr>
          <w:p w:rsidR="00CA3DB8" w:rsidRPr="001B1027" w:rsidRDefault="00542586" w:rsidP="007912C5">
            <w:pPr>
              <w:tabs>
                <w:tab w:val="left" w:pos="3529"/>
              </w:tabs>
              <w:ind w:left="57" w:right="-450"/>
              <w:rPr>
                <w:rFonts w:ascii="Arial" w:hAnsi="Arial"/>
                <w:szCs w:val="22"/>
              </w:rPr>
            </w:pPr>
            <w:r>
              <w:rPr>
                <w:rFonts w:ascii="Century Gothic" w:hAnsi="Century Gothic"/>
                <w:szCs w:val="22"/>
              </w:rPr>
              <w:t>Ongoing</w:t>
            </w:r>
            <w:bookmarkStart w:id="0" w:name="_GoBack"/>
            <w:bookmarkEnd w:id="0"/>
            <w:r w:rsidR="00350789">
              <w:rPr>
                <w:rFonts w:ascii="Century Gothic" w:hAnsi="Century Gothic"/>
                <w:szCs w:val="22"/>
              </w:rPr>
              <w:t xml:space="preserve"> - Flexible</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rsidR="00CA3DB8" w:rsidRPr="001B1027" w:rsidRDefault="00CA3DB8" w:rsidP="007912C5">
            <w:pPr>
              <w:ind w:right="-450"/>
              <w:rPr>
                <w:rFonts w:ascii="Arial" w:hAnsi="Arial"/>
                <w:b/>
                <w:szCs w:val="22"/>
              </w:rPr>
            </w:pPr>
          </w:p>
        </w:tc>
        <w:tc>
          <w:tcPr>
            <w:tcW w:w="7654" w:type="dxa"/>
            <w:tcBorders>
              <w:top w:val="single" w:sz="4" w:space="0" w:color="auto"/>
              <w:left w:val="nil"/>
              <w:bottom w:val="single" w:sz="4" w:space="0" w:color="auto"/>
              <w:right w:val="nil"/>
            </w:tcBorders>
            <w:vAlign w:val="center"/>
          </w:tcPr>
          <w:p w:rsidR="00CA3DB8" w:rsidRPr="001B1027" w:rsidRDefault="00CA3DB8" w:rsidP="007912C5">
            <w:pPr>
              <w:ind w:left="57" w:right="-450"/>
              <w:rPr>
                <w:rFonts w:ascii="Arial" w:hAnsi="Arial"/>
                <w:szCs w:val="22"/>
              </w:rPr>
            </w:pP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Group:</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7912C5">
            <w:pPr>
              <w:ind w:left="57" w:right="-450"/>
              <w:rPr>
                <w:rFonts w:ascii="Arial" w:hAnsi="Arial"/>
                <w:szCs w:val="22"/>
              </w:rPr>
            </w:pPr>
            <w:r>
              <w:rPr>
                <w:rFonts w:ascii="Arial" w:hAnsi="Arial"/>
                <w:szCs w:val="22"/>
              </w:rPr>
              <w:t>Energy, Environment and Climate Change Group</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Division &amp; Branch:</w:t>
            </w:r>
          </w:p>
        </w:tc>
        <w:tc>
          <w:tcPr>
            <w:tcW w:w="7654" w:type="dxa"/>
            <w:tcBorders>
              <w:top w:val="single" w:sz="2" w:space="0" w:color="auto"/>
              <w:left w:val="single" w:sz="2" w:space="0" w:color="auto"/>
              <w:bottom w:val="single" w:sz="2" w:space="0" w:color="auto"/>
              <w:right w:val="single" w:sz="2" w:space="0" w:color="auto"/>
            </w:tcBorders>
            <w:vAlign w:val="center"/>
          </w:tcPr>
          <w:p w:rsidR="00350789" w:rsidRPr="001B1027" w:rsidRDefault="00350789" w:rsidP="00A01F66">
            <w:pPr>
              <w:ind w:left="57" w:right="-450"/>
              <w:rPr>
                <w:rFonts w:ascii="Arial" w:hAnsi="Arial"/>
                <w:szCs w:val="22"/>
              </w:rPr>
            </w:pPr>
            <w:r>
              <w:rPr>
                <w:rFonts w:ascii="Arial" w:hAnsi="Arial"/>
                <w:szCs w:val="22"/>
              </w:rPr>
              <w:t>Climate Change Division</w:t>
            </w:r>
            <w:r w:rsidR="00A01F66">
              <w:rPr>
                <w:rFonts w:ascii="Arial" w:hAnsi="Arial"/>
                <w:szCs w:val="22"/>
              </w:rPr>
              <w:t>/</w:t>
            </w:r>
            <w:r>
              <w:rPr>
                <w:rFonts w:ascii="Arial" w:hAnsi="Arial"/>
                <w:szCs w:val="22"/>
              </w:rPr>
              <w:t>Climate Change Policy Branch</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Work location:</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A01F66" w:rsidP="00350789">
            <w:pPr>
              <w:ind w:right="-450"/>
              <w:rPr>
                <w:rFonts w:ascii="Arial" w:hAnsi="Arial"/>
                <w:szCs w:val="22"/>
              </w:rPr>
            </w:pPr>
            <w:r>
              <w:rPr>
                <w:rFonts w:ascii="Arial" w:hAnsi="Arial"/>
                <w:szCs w:val="22"/>
              </w:rPr>
              <w:t xml:space="preserve"> </w:t>
            </w:r>
            <w:r w:rsidR="00350789">
              <w:rPr>
                <w:rFonts w:ascii="Arial" w:hAnsi="Arial"/>
                <w:szCs w:val="22"/>
              </w:rPr>
              <w:t>8 Nicholson Street, East Melbourne</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rsidR="00CA3DB8" w:rsidRPr="001B1027" w:rsidRDefault="00CA3DB8" w:rsidP="007912C5">
            <w:pPr>
              <w:ind w:right="-450"/>
              <w:rPr>
                <w:rFonts w:ascii="Arial" w:hAnsi="Arial"/>
                <w:b/>
                <w:szCs w:val="22"/>
              </w:rPr>
            </w:pPr>
          </w:p>
        </w:tc>
        <w:tc>
          <w:tcPr>
            <w:tcW w:w="7654" w:type="dxa"/>
            <w:tcBorders>
              <w:top w:val="single" w:sz="2" w:space="0" w:color="auto"/>
              <w:left w:val="nil"/>
              <w:bottom w:val="single" w:sz="2" w:space="0" w:color="auto"/>
              <w:right w:val="nil"/>
            </w:tcBorders>
            <w:vAlign w:val="center"/>
          </w:tcPr>
          <w:p w:rsidR="00CA3DB8" w:rsidRPr="001B1027" w:rsidRDefault="00CA3DB8" w:rsidP="007912C5">
            <w:pPr>
              <w:ind w:left="57" w:right="-450"/>
              <w:rPr>
                <w:rFonts w:ascii="Arial" w:hAnsi="Arial"/>
                <w:szCs w:val="22"/>
              </w:rPr>
            </w:pP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bCs/>
                <w:spacing w:val="-3"/>
                <w:szCs w:val="22"/>
              </w:rPr>
            </w:pPr>
            <w:r w:rsidRPr="001B1027">
              <w:rPr>
                <w:rFonts w:ascii="Arial" w:hAnsi="Arial"/>
                <w:b/>
                <w:bCs/>
                <w:spacing w:val="-3"/>
                <w:szCs w:val="22"/>
              </w:rPr>
              <w:t>Reports to:</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7912C5">
            <w:pPr>
              <w:tabs>
                <w:tab w:val="left" w:pos="469"/>
                <w:tab w:val="left" w:pos="1189"/>
              </w:tabs>
              <w:ind w:left="57" w:right="-450"/>
              <w:rPr>
                <w:rFonts w:ascii="Arial" w:hAnsi="Arial"/>
                <w:szCs w:val="22"/>
              </w:rPr>
            </w:pPr>
            <w:r>
              <w:rPr>
                <w:rFonts w:ascii="Arial" w:hAnsi="Arial"/>
                <w:szCs w:val="22"/>
              </w:rPr>
              <w:t>Manager, Climate Change Policy</w:t>
            </w:r>
            <w:r w:rsidR="00CA3DB8" w:rsidRPr="001B1027">
              <w:rPr>
                <w:rFonts w:ascii="Arial" w:hAnsi="Arial"/>
                <w:szCs w:val="22"/>
              </w:rPr>
              <w:tab/>
            </w:r>
            <w:r w:rsidR="00CA3DB8" w:rsidRPr="001B1027">
              <w:rPr>
                <w:rFonts w:ascii="Arial" w:hAnsi="Arial"/>
                <w:szCs w:val="22"/>
              </w:rPr>
              <w:tab/>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bCs/>
                <w:spacing w:val="-3"/>
                <w:szCs w:val="22"/>
              </w:rPr>
            </w:pPr>
            <w:r w:rsidRPr="001B1027">
              <w:rPr>
                <w:rFonts w:ascii="Arial" w:hAnsi="Arial"/>
                <w:b/>
                <w:bCs/>
                <w:spacing w:val="-3"/>
                <w:szCs w:val="22"/>
              </w:rPr>
              <w:t>Direct reports:</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CA3DB8" w:rsidP="007912C5">
            <w:pPr>
              <w:tabs>
                <w:tab w:val="left" w:pos="469"/>
                <w:tab w:val="left" w:pos="1189"/>
              </w:tabs>
              <w:ind w:left="57" w:right="-450"/>
              <w:rPr>
                <w:rFonts w:ascii="Arial" w:hAnsi="Arial"/>
                <w:szCs w:val="22"/>
              </w:rPr>
            </w:pPr>
            <w:r w:rsidRPr="001B1027">
              <w:rPr>
                <w:rFonts w:ascii="Arial" w:hAnsi="Arial"/>
                <w:szCs w:val="22"/>
              </w:rPr>
              <w:fldChar w:fldCharType="begin">
                <w:ffData>
                  <w:name w:val=""/>
                  <w:enabled/>
                  <w:calcOnExit w:val="0"/>
                  <w:checkBox>
                    <w:size w:val="26"/>
                    <w:default w:val="0"/>
                    <w:checked w:val="0"/>
                  </w:checkBox>
                </w:ffData>
              </w:fldChar>
            </w:r>
            <w:r w:rsidRPr="001B1027">
              <w:rPr>
                <w:rFonts w:ascii="Arial" w:hAnsi="Arial"/>
                <w:szCs w:val="22"/>
              </w:rPr>
              <w:instrText xml:space="preserve"> FORMCHECKBOX </w:instrText>
            </w:r>
            <w:r w:rsidR="00542586">
              <w:rPr>
                <w:rFonts w:ascii="Arial" w:hAnsi="Arial"/>
                <w:szCs w:val="22"/>
              </w:rPr>
            </w:r>
            <w:r w:rsidR="00542586">
              <w:rPr>
                <w:rFonts w:ascii="Arial" w:hAnsi="Arial"/>
                <w:szCs w:val="22"/>
              </w:rPr>
              <w:fldChar w:fldCharType="separate"/>
            </w:r>
            <w:r w:rsidRPr="001B1027">
              <w:rPr>
                <w:rFonts w:ascii="Arial" w:hAnsi="Arial"/>
                <w:szCs w:val="22"/>
              </w:rPr>
              <w:fldChar w:fldCharType="end"/>
            </w:r>
            <w:r w:rsidRPr="001B1027">
              <w:rPr>
                <w:rFonts w:ascii="Arial" w:hAnsi="Arial"/>
                <w:szCs w:val="22"/>
              </w:rPr>
              <w:tab/>
              <w:t>Yes</w:t>
            </w:r>
            <w:r w:rsidRPr="001B1027">
              <w:rPr>
                <w:rFonts w:ascii="Arial" w:hAnsi="Arial"/>
                <w:szCs w:val="22"/>
              </w:rPr>
              <w:tab/>
            </w:r>
            <w:r w:rsidR="00350789">
              <w:rPr>
                <w:rFonts w:ascii="Century Gothic" w:hAnsi="Century Gothic"/>
                <w:szCs w:val="22"/>
              </w:rPr>
              <w:fldChar w:fldCharType="begin">
                <w:ffData>
                  <w:name w:val=""/>
                  <w:enabled/>
                  <w:calcOnExit w:val="0"/>
                  <w:checkBox>
                    <w:size w:val="26"/>
                    <w:default w:val="1"/>
                  </w:checkBox>
                </w:ffData>
              </w:fldChar>
            </w:r>
            <w:r w:rsidR="00350789">
              <w:rPr>
                <w:rFonts w:ascii="Century Gothic" w:hAnsi="Century Gothic"/>
                <w:szCs w:val="22"/>
              </w:rPr>
              <w:instrText xml:space="preserve"> FORMCHECKBOX </w:instrText>
            </w:r>
            <w:r w:rsidR="00542586">
              <w:rPr>
                <w:rFonts w:ascii="Century Gothic" w:hAnsi="Century Gothic"/>
                <w:szCs w:val="22"/>
              </w:rPr>
            </w:r>
            <w:r w:rsidR="00542586">
              <w:rPr>
                <w:rFonts w:ascii="Century Gothic" w:hAnsi="Century Gothic"/>
                <w:szCs w:val="22"/>
              </w:rPr>
              <w:fldChar w:fldCharType="separate"/>
            </w:r>
            <w:r w:rsidR="00350789">
              <w:rPr>
                <w:rFonts w:ascii="Century Gothic" w:hAnsi="Century Gothic"/>
                <w:szCs w:val="22"/>
              </w:rPr>
              <w:fldChar w:fldCharType="end"/>
            </w:r>
            <w:r w:rsidRPr="001B1027">
              <w:rPr>
                <w:rFonts w:ascii="Arial" w:hAnsi="Arial"/>
                <w:szCs w:val="22"/>
              </w:rPr>
              <w:t xml:space="preserve"> No                If yes, how many?</w:t>
            </w: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57"/>
        </w:trPr>
        <w:tc>
          <w:tcPr>
            <w:tcW w:w="2580" w:type="dxa"/>
            <w:tcBorders>
              <w:top w:val="nil"/>
              <w:bottom w:val="nil"/>
              <w:right w:val="nil"/>
            </w:tcBorders>
            <w:vAlign w:val="center"/>
          </w:tcPr>
          <w:p w:rsidR="00CA3DB8" w:rsidRPr="001B1027" w:rsidRDefault="00CA3DB8" w:rsidP="007912C5">
            <w:pPr>
              <w:ind w:right="-450"/>
              <w:rPr>
                <w:rFonts w:ascii="Arial" w:hAnsi="Arial"/>
                <w:b/>
                <w:szCs w:val="22"/>
              </w:rPr>
            </w:pPr>
          </w:p>
        </w:tc>
        <w:tc>
          <w:tcPr>
            <w:tcW w:w="7654" w:type="dxa"/>
            <w:tcBorders>
              <w:top w:val="single" w:sz="2" w:space="0" w:color="auto"/>
              <w:left w:val="nil"/>
              <w:bottom w:val="single" w:sz="2" w:space="0" w:color="auto"/>
              <w:right w:val="nil"/>
            </w:tcBorders>
            <w:vAlign w:val="center"/>
          </w:tcPr>
          <w:p w:rsidR="00CA3DB8" w:rsidRPr="001B1027" w:rsidRDefault="00CA3DB8" w:rsidP="007912C5">
            <w:pPr>
              <w:ind w:left="57" w:right="-450"/>
              <w:rPr>
                <w:rFonts w:ascii="Arial" w:hAnsi="Arial"/>
                <w:szCs w:val="22"/>
              </w:rPr>
            </w:pPr>
          </w:p>
        </w:tc>
      </w:tr>
      <w:tr w:rsidR="00CA3DB8" w:rsidRPr="001B1027" w:rsidTr="007912C5">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trHeight w:val="399"/>
        </w:trPr>
        <w:tc>
          <w:tcPr>
            <w:tcW w:w="2580" w:type="dxa"/>
            <w:tcBorders>
              <w:top w:val="nil"/>
              <w:bottom w:val="nil"/>
              <w:right w:val="single" w:sz="2" w:space="0" w:color="auto"/>
            </w:tcBorders>
            <w:vAlign w:val="center"/>
          </w:tcPr>
          <w:p w:rsidR="00CA3DB8" w:rsidRPr="001B1027" w:rsidRDefault="00CA3DB8" w:rsidP="007912C5">
            <w:pPr>
              <w:ind w:right="-450"/>
              <w:rPr>
                <w:rFonts w:ascii="Arial" w:hAnsi="Arial"/>
                <w:b/>
                <w:szCs w:val="22"/>
              </w:rPr>
            </w:pPr>
            <w:r w:rsidRPr="001B1027">
              <w:rPr>
                <w:rFonts w:ascii="Arial" w:hAnsi="Arial"/>
                <w:b/>
                <w:szCs w:val="22"/>
              </w:rPr>
              <w:t>Further information:</w:t>
            </w:r>
          </w:p>
        </w:tc>
        <w:tc>
          <w:tcPr>
            <w:tcW w:w="7654" w:type="dxa"/>
            <w:tcBorders>
              <w:top w:val="single" w:sz="2" w:space="0" w:color="auto"/>
              <w:left w:val="single" w:sz="2" w:space="0" w:color="auto"/>
              <w:bottom w:val="single" w:sz="2" w:space="0" w:color="auto"/>
              <w:right w:val="single" w:sz="2" w:space="0" w:color="auto"/>
            </w:tcBorders>
            <w:vAlign w:val="center"/>
          </w:tcPr>
          <w:p w:rsidR="00CA3DB8" w:rsidRPr="001B1027" w:rsidRDefault="00350789" w:rsidP="007912C5">
            <w:pPr>
              <w:ind w:left="57" w:right="-450"/>
              <w:rPr>
                <w:rFonts w:ascii="Arial" w:hAnsi="Arial"/>
                <w:szCs w:val="22"/>
              </w:rPr>
            </w:pPr>
            <w:r>
              <w:rPr>
                <w:rFonts w:ascii="Arial" w:hAnsi="Arial"/>
                <w:szCs w:val="22"/>
              </w:rPr>
              <w:t>Kylie Goodwin (03) 9637 8123</w:t>
            </w:r>
          </w:p>
        </w:tc>
      </w:tr>
    </w:tbl>
    <w:p w:rsidR="00CA3DB8" w:rsidRPr="001B1027" w:rsidRDefault="00CA3DB8" w:rsidP="00CA3DB8">
      <w:pPr>
        <w:pStyle w:val="DTPLIheadingtopcolumngreen"/>
        <w:rPr>
          <w:rFonts w:ascii="Arial" w:hAnsi="Arial" w:cs="Arial"/>
          <w:sz w:val="22"/>
          <w:szCs w:val="22"/>
        </w:rPr>
      </w:pPr>
    </w:p>
    <w:p w:rsidR="00CA3DB8" w:rsidRPr="001B1027" w:rsidRDefault="00CA3DB8" w:rsidP="00CA3DB8">
      <w:pPr>
        <w:pStyle w:val="DTPLIheadinggreen"/>
        <w:spacing w:before="12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About the Department</w:t>
      </w:r>
    </w:p>
    <w:p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The Department is tasked with ensuring that Victoria has the right conditions to enable economic growth, while delivering liveable, inclusive and sustainable communities.</w:t>
      </w:r>
    </w:p>
    <w:p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We bring together planning, local government and infrastructure, environment, climate change, energy and water functions, to ensure an integrated approach to the development of long-term State and regional strategies that build on social, environmental and economic opportunities to provide for future population growth and change.</w:t>
      </w:r>
    </w:p>
    <w:p w:rsidR="00CA3DB8" w:rsidRPr="001B1027" w:rsidRDefault="00CA3DB8" w:rsidP="00CA3DB8">
      <w:pPr>
        <w:autoSpaceDE w:val="0"/>
        <w:autoSpaceDN w:val="0"/>
        <w:adjustRightInd w:val="0"/>
        <w:spacing w:after="120"/>
        <w:rPr>
          <w:rFonts w:ascii="Arial" w:hAnsi="Arial"/>
          <w:color w:val="000000"/>
          <w:szCs w:val="22"/>
        </w:rPr>
      </w:pPr>
      <w:r w:rsidRPr="001B1027">
        <w:rPr>
          <w:rFonts w:ascii="Arial" w:hAnsi="Arial"/>
          <w:color w:val="000000"/>
          <w:szCs w:val="22"/>
        </w:rPr>
        <w:t>We build community resilience b</w:t>
      </w:r>
      <w:r w:rsidR="004B7C60">
        <w:rPr>
          <w:rFonts w:ascii="Arial" w:hAnsi="Arial"/>
          <w:color w:val="000000"/>
          <w:szCs w:val="22"/>
        </w:rPr>
        <w:t>y adopting an all-hazards, all-emer</w:t>
      </w:r>
      <w:r w:rsidRPr="001B1027">
        <w:rPr>
          <w:rFonts w:ascii="Arial" w:hAnsi="Arial"/>
          <w:color w:val="000000"/>
          <w:szCs w:val="22"/>
        </w:rPr>
        <w:t xml:space="preserve">gencies approach across our built and natural environments to improve protection against natural disasters and other emergencies. </w:t>
      </w:r>
    </w:p>
    <w:p w:rsidR="00CA3DB8" w:rsidRPr="001B1027" w:rsidRDefault="00CA3DB8" w:rsidP="00CA3DB8">
      <w:pPr>
        <w:autoSpaceDE w:val="0"/>
        <w:autoSpaceDN w:val="0"/>
        <w:adjustRightInd w:val="0"/>
        <w:rPr>
          <w:rFonts w:ascii="Arial" w:hAnsi="Arial"/>
          <w:color w:val="000000"/>
          <w:szCs w:val="22"/>
        </w:rPr>
      </w:pPr>
      <w:r w:rsidRPr="001B1027">
        <w:rPr>
          <w:rFonts w:ascii="Arial" w:hAnsi="Arial"/>
          <w:color w:val="000000"/>
          <w:szCs w:val="22"/>
        </w:rPr>
        <w:t>For further information about the department, please visit our website www.delwp.vic.gov.au</w:t>
      </w:r>
    </w:p>
    <w:p w:rsidR="00CA3DB8" w:rsidRPr="001B1027" w:rsidRDefault="00CA3DB8" w:rsidP="00CA3DB8">
      <w:pPr>
        <w:spacing w:before="200"/>
        <w:ind w:right="-450"/>
        <w:rPr>
          <w:rFonts w:ascii="Arial" w:hAnsi="Arial"/>
          <w:b/>
          <w:szCs w:val="22"/>
        </w:rPr>
      </w:pPr>
      <w:r w:rsidRPr="001B1027">
        <w:rPr>
          <w:rFonts w:ascii="Arial" w:hAnsi="Arial"/>
          <w:b/>
          <w:szCs w:val="22"/>
        </w:rPr>
        <w:t>Context</w:t>
      </w:r>
    </w:p>
    <w:p w:rsidR="00CA3DB8" w:rsidRPr="00C336C0" w:rsidRDefault="00350789" w:rsidP="00CA3DB8">
      <w:pPr>
        <w:spacing w:before="160"/>
        <w:rPr>
          <w:rFonts w:cstheme="minorHAnsi"/>
          <w:i/>
          <w:color w:val="000000"/>
          <w:szCs w:val="22"/>
        </w:rPr>
      </w:pPr>
      <w:r w:rsidRPr="00C336C0">
        <w:rPr>
          <w:rFonts w:cstheme="minorHAnsi"/>
          <w:i/>
          <w:color w:val="000000"/>
          <w:szCs w:val="22"/>
        </w:rPr>
        <w:lastRenderedPageBreak/>
        <w:t>The Group</w:t>
      </w:r>
      <w:r w:rsidR="00231310">
        <w:rPr>
          <w:rFonts w:cstheme="minorHAnsi"/>
          <w:i/>
          <w:color w:val="000000"/>
          <w:szCs w:val="22"/>
        </w:rPr>
        <w:t>/Division/Branch</w:t>
      </w:r>
    </w:p>
    <w:p w:rsidR="00350789" w:rsidRPr="00C336C0" w:rsidRDefault="00350789" w:rsidP="00350789">
      <w:pPr>
        <w:autoSpaceDE w:val="0"/>
        <w:autoSpaceDN w:val="0"/>
        <w:adjustRightInd w:val="0"/>
        <w:spacing w:after="120"/>
        <w:rPr>
          <w:rFonts w:cstheme="minorHAnsi"/>
          <w:color w:val="000000"/>
          <w:szCs w:val="22"/>
        </w:rPr>
      </w:pPr>
      <w:r w:rsidRPr="00C336C0">
        <w:rPr>
          <w:rFonts w:cstheme="minorHAnsi"/>
          <w:color w:val="000000"/>
          <w:szCs w:val="22"/>
        </w:rPr>
        <w:t xml:space="preserve">The </w:t>
      </w:r>
      <w:r w:rsidRPr="00231310">
        <w:rPr>
          <w:rFonts w:cstheme="minorHAnsi"/>
          <w:b/>
          <w:color w:val="000000"/>
          <w:szCs w:val="22"/>
        </w:rPr>
        <w:t>Energy, Environment and Climate Change Group</w:t>
      </w:r>
      <w:r w:rsidRPr="00C336C0">
        <w:rPr>
          <w:rFonts w:cstheme="minorHAnsi"/>
          <w:color w:val="000000"/>
          <w:szCs w:val="22"/>
        </w:rPr>
        <w:t xml:space="preserve"> comprises a broad range of policy and strategic areas in the Department of Environment, Land, Water and Planning (DELWP).  We work collaboratively with our Regional Services, portfolio agencies and stakeholders to deliver our policies and programs. </w:t>
      </w:r>
    </w:p>
    <w:p w:rsidR="00350789" w:rsidRPr="00C336C0" w:rsidRDefault="00350789" w:rsidP="00350789">
      <w:pPr>
        <w:autoSpaceDE w:val="0"/>
        <w:autoSpaceDN w:val="0"/>
        <w:adjustRightInd w:val="0"/>
        <w:spacing w:after="120"/>
        <w:rPr>
          <w:rFonts w:cstheme="minorHAnsi"/>
          <w:color w:val="000000"/>
          <w:szCs w:val="22"/>
        </w:rPr>
      </w:pPr>
      <w:r w:rsidRPr="00C336C0">
        <w:rPr>
          <w:rFonts w:cstheme="minorHAnsi"/>
          <w:color w:val="000000"/>
          <w:szCs w:val="22"/>
        </w:rPr>
        <w:t>The Group is made up of five divisions: Climate Change, Biodiversity, Land Management Policy, Energy Policy and Programs, and Renewable Energy.</w:t>
      </w:r>
    </w:p>
    <w:p w:rsidR="00350789" w:rsidRPr="00C336C0" w:rsidRDefault="00350789" w:rsidP="00350789">
      <w:pPr>
        <w:autoSpaceDE w:val="0"/>
        <w:autoSpaceDN w:val="0"/>
        <w:adjustRightInd w:val="0"/>
        <w:spacing w:after="120"/>
        <w:rPr>
          <w:rFonts w:cstheme="minorHAnsi"/>
          <w:color w:val="000000"/>
          <w:szCs w:val="22"/>
        </w:rPr>
      </w:pPr>
      <w:r w:rsidRPr="00C336C0">
        <w:rPr>
          <w:rFonts w:cstheme="minorHAnsi"/>
          <w:color w:val="000000"/>
          <w:szCs w:val="22"/>
        </w:rPr>
        <w:t xml:space="preserve">The </w:t>
      </w:r>
      <w:r w:rsidR="00231310">
        <w:rPr>
          <w:rFonts w:cstheme="minorHAnsi"/>
          <w:b/>
          <w:color w:val="000000"/>
          <w:szCs w:val="22"/>
        </w:rPr>
        <w:t>Climate Change D</w:t>
      </w:r>
      <w:r w:rsidRPr="00231310">
        <w:rPr>
          <w:rFonts w:cstheme="minorHAnsi"/>
          <w:b/>
          <w:color w:val="000000"/>
          <w:szCs w:val="22"/>
        </w:rPr>
        <w:t>ivision</w:t>
      </w:r>
      <w:r w:rsidRPr="00C336C0">
        <w:rPr>
          <w:rFonts w:cstheme="minorHAnsi"/>
          <w:color w:val="000000"/>
          <w:szCs w:val="22"/>
        </w:rPr>
        <w:t xml:space="preserve"> provides high quality policy advice to government on directions, principles, strategies and actions to protect the environment, provide leadership on climate change, recognising that a healthy environment is critical to growing Victoria's economy and improving liveability for all Victorians. </w:t>
      </w:r>
    </w:p>
    <w:p w:rsidR="00350789" w:rsidRPr="00C336C0" w:rsidRDefault="00350789" w:rsidP="00350789">
      <w:pPr>
        <w:autoSpaceDE w:val="0"/>
        <w:autoSpaceDN w:val="0"/>
        <w:adjustRightInd w:val="0"/>
        <w:rPr>
          <w:rFonts w:cstheme="minorHAnsi"/>
          <w:color w:val="000000"/>
          <w:szCs w:val="22"/>
        </w:rPr>
      </w:pPr>
      <w:r w:rsidRPr="00C336C0">
        <w:rPr>
          <w:rFonts w:cstheme="minorHAnsi"/>
          <w:color w:val="000000"/>
          <w:szCs w:val="22"/>
        </w:rPr>
        <w:t xml:space="preserve">The </w:t>
      </w:r>
      <w:r w:rsidR="00231310">
        <w:rPr>
          <w:rFonts w:cstheme="minorHAnsi"/>
          <w:b/>
          <w:color w:val="000000"/>
          <w:szCs w:val="22"/>
        </w:rPr>
        <w:t>Climate Change Policy B</w:t>
      </w:r>
      <w:r w:rsidRPr="00231310">
        <w:rPr>
          <w:rFonts w:cstheme="minorHAnsi"/>
          <w:b/>
          <w:color w:val="000000"/>
          <w:szCs w:val="22"/>
        </w:rPr>
        <w:t>ranch</w:t>
      </w:r>
      <w:r w:rsidRPr="00C336C0">
        <w:rPr>
          <w:rFonts w:cstheme="minorHAnsi"/>
          <w:color w:val="000000"/>
          <w:szCs w:val="22"/>
        </w:rPr>
        <w:t xml:space="preserve"> is responsible for delivering government’s climate change commitments. This includes: developing policy and processes to meet the Government’s emissions reduction targets; delivery of the Government’s response to the Independent Review of the </w:t>
      </w:r>
      <w:r w:rsidRPr="00C336C0">
        <w:rPr>
          <w:rFonts w:cstheme="minorHAnsi"/>
          <w:i/>
          <w:color w:val="000000"/>
          <w:szCs w:val="22"/>
        </w:rPr>
        <w:t>Climate Change Act 2010</w:t>
      </w:r>
      <w:r w:rsidRPr="00C336C0">
        <w:rPr>
          <w:rFonts w:cstheme="minorHAnsi"/>
          <w:color w:val="000000"/>
          <w:szCs w:val="22"/>
        </w:rPr>
        <w:t xml:space="preserve">; providing strategic advice on national and international climate change policy and science; and developing and delivery of adaptation policy. </w:t>
      </w:r>
    </w:p>
    <w:p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Accountabilities</w:t>
      </w:r>
    </w:p>
    <w:p w:rsidR="00350789" w:rsidRPr="00C336C0" w:rsidRDefault="00350789" w:rsidP="00350789">
      <w:pPr>
        <w:autoSpaceDE w:val="0"/>
        <w:autoSpaceDN w:val="0"/>
        <w:adjustRightInd w:val="0"/>
        <w:rPr>
          <w:rFonts w:cstheme="minorHAnsi"/>
        </w:rPr>
      </w:pPr>
      <w:r w:rsidRPr="00C336C0">
        <w:rPr>
          <w:rFonts w:cstheme="minorHAnsi"/>
        </w:rPr>
        <w:t>These accountabilities will form the basis of an individual’s Performance Plan</w:t>
      </w:r>
    </w:p>
    <w:p w:rsidR="00350789" w:rsidRPr="00C336C0" w:rsidRDefault="00350789" w:rsidP="00350789">
      <w:pPr>
        <w:autoSpaceDE w:val="0"/>
        <w:autoSpaceDN w:val="0"/>
        <w:adjustRightInd w:val="0"/>
        <w:rPr>
          <w:rFonts w:cstheme="minorHAnsi"/>
          <w:color w:val="000000"/>
          <w:szCs w:val="22"/>
        </w:rPr>
      </w:pP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Contribute to policy development</w:t>
      </w:r>
      <w:r w:rsidR="009310BB">
        <w:rPr>
          <w:rFonts w:cstheme="minorHAnsi"/>
          <w:color w:val="000000"/>
        </w:rPr>
        <w:t xml:space="preserve">, </w:t>
      </w:r>
      <w:r w:rsidRPr="00C336C0">
        <w:rPr>
          <w:rFonts w:cstheme="minorHAnsi"/>
          <w:color w:val="000000"/>
        </w:rPr>
        <w:t xml:space="preserve">legislative reform, research and analysis. </w:t>
      </w: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Identify and monitor key issues</w:t>
      </w:r>
      <w:r w:rsidR="009310BB">
        <w:rPr>
          <w:rFonts w:cstheme="minorHAnsi"/>
          <w:color w:val="000000"/>
        </w:rPr>
        <w:t xml:space="preserve"> </w:t>
      </w:r>
      <w:r w:rsidRPr="00C336C0">
        <w:rPr>
          <w:rFonts w:cstheme="minorHAnsi"/>
          <w:color w:val="000000"/>
        </w:rPr>
        <w:t>that influence climate change policy development and support the Department’s projects, programs and priorities.</w:t>
      </w:r>
      <w:r w:rsidRPr="00C336C0">
        <w:rPr>
          <w:rFonts w:cstheme="minorHAnsi"/>
          <w:color w:val="000000"/>
        </w:rPr>
        <w:tab/>
      </w: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 xml:space="preserve">Prepare and present accurate, concise and timely reports, briefings and </w:t>
      </w:r>
      <w:r w:rsidR="004B7C60" w:rsidRPr="00C336C0">
        <w:rPr>
          <w:rFonts w:cstheme="minorHAnsi"/>
          <w:color w:val="000000"/>
        </w:rPr>
        <w:t>correspondence on</w:t>
      </w:r>
      <w:r w:rsidRPr="00C336C0">
        <w:rPr>
          <w:rFonts w:cstheme="minorHAnsi"/>
          <w:color w:val="000000"/>
        </w:rPr>
        <w:t xml:space="preserve"> climate change policy issues for a range of audiences including Ministers and Department Executives.</w:t>
      </w: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Effectively communicate – in writing and verbally – policy issues, processes solutions to internal and external stakeholders.</w:t>
      </w: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Initiate, build and maintain effective working relationships with internal and external stakeholders.</w:t>
      </w:r>
    </w:p>
    <w:p w:rsidR="00350789" w:rsidRPr="00C336C0" w:rsidRDefault="00350789" w:rsidP="00350789">
      <w:pPr>
        <w:pStyle w:val="ListParagraph"/>
        <w:numPr>
          <w:ilvl w:val="0"/>
          <w:numId w:val="43"/>
        </w:numPr>
        <w:autoSpaceDE w:val="0"/>
        <w:autoSpaceDN w:val="0"/>
        <w:adjustRightInd w:val="0"/>
        <w:spacing w:after="240" w:line="276" w:lineRule="auto"/>
        <w:rPr>
          <w:rFonts w:cstheme="minorHAnsi"/>
          <w:color w:val="000000"/>
        </w:rPr>
      </w:pPr>
      <w:r w:rsidRPr="00C336C0">
        <w:rPr>
          <w:rFonts w:cstheme="minorHAnsi"/>
          <w:color w:val="000000"/>
        </w:rPr>
        <w:t>Contribute effectively to building and maintaining a constructive culture within the Branch including through demonstrating DELWP cultural values.</w:t>
      </w:r>
    </w:p>
    <w:p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Position specific requirements</w:t>
      </w:r>
    </w:p>
    <w:tbl>
      <w:tblPr>
        <w:tblStyle w:val="TableGrid"/>
        <w:tblW w:w="0" w:type="auto"/>
        <w:tblLook w:val="04A0" w:firstRow="1" w:lastRow="0" w:firstColumn="1" w:lastColumn="0" w:noHBand="0" w:noVBand="1"/>
      </w:tblPr>
      <w:tblGrid>
        <w:gridCol w:w="4002"/>
        <w:gridCol w:w="6203"/>
      </w:tblGrid>
      <w:tr w:rsidR="006E2410" w:rsidRPr="006E2410" w:rsidTr="00CF498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077" w:type="dxa"/>
            <w:shd w:val="clear" w:color="auto" w:fill="auto"/>
          </w:tcPr>
          <w:p w:rsidR="00CA3DB8" w:rsidRPr="006E2410" w:rsidRDefault="00CA3DB8" w:rsidP="007912C5">
            <w:pPr>
              <w:rPr>
                <w:rFonts w:ascii="Arial" w:hAnsi="Arial" w:cs="Arial"/>
                <w:color w:val="auto"/>
                <w:szCs w:val="22"/>
              </w:rPr>
            </w:pPr>
            <w:r w:rsidRPr="006E2410">
              <w:rPr>
                <w:rFonts w:ascii="Arial" w:hAnsi="Arial" w:cs="Arial"/>
                <w:color w:val="auto"/>
                <w:szCs w:val="22"/>
              </w:rPr>
              <w:t>Financial Delegation Value</w:t>
            </w:r>
          </w:p>
        </w:tc>
        <w:tc>
          <w:tcPr>
            <w:tcW w:w="6343" w:type="dxa"/>
            <w:shd w:val="clear" w:color="auto" w:fill="auto"/>
          </w:tcPr>
          <w:p w:rsidR="00CA3DB8" w:rsidRPr="006E2410" w:rsidRDefault="00350789" w:rsidP="007912C5">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color w:val="auto"/>
                <w:szCs w:val="22"/>
              </w:rPr>
              <w:t>N/A</w:t>
            </w:r>
          </w:p>
        </w:tc>
      </w:tr>
      <w:tr w:rsidR="00CA3DB8" w:rsidRPr="001B1027" w:rsidTr="00CF498E">
        <w:tc>
          <w:tcPr>
            <w:tcW w:w="4077" w:type="dxa"/>
            <w:shd w:val="clear" w:color="auto" w:fill="auto"/>
          </w:tcPr>
          <w:p w:rsidR="00CA3DB8" w:rsidRPr="001B1027" w:rsidRDefault="00CA3DB8" w:rsidP="00B3114D">
            <w:pPr>
              <w:rPr>
                <w:rFonts w:ascii="Arial" w:hAnsi="Arial" w:cs="Arial"/>
                <w:szCs w:val="22"/>
              </w:rPr>
            </w:pPr>
            <w:r w:rsidRPr="001B1027">
              <w:rPr>
                <w:rFonts w:ascii="Arial" w:hAnsi="Arial" w:cs="Arial"/>
                <w:szCs w:val="22"/>
              </w:rPr>
              <w:t>This position has the following specific requirements:</w:t>
            </w:r>
          </w:p>
        </w:tc>
        <w:tc>
          <w:tcPr>
            <w:tcW w:w="6343" w:type="dxa"/>
            <w:shd w:val="clear" w:color="auto" w:fill="auto"/>
          </w:tcPr>
          <w:p w:rsidR="00CA3DB8" w:rsidRPr="001B1027" w:rsidRDefault="00CA3DB8" w:rsidP="007912C5">
            <w:pPr>
              <w:rPr>
                <w:rFonts w:ascii="Arial" w:hAnsi="Arial" w:cs="Arial"/>
                <w:color w:val="000000"/>
                <w:szCs w:val="22"/>
                <w:highlight w:val="lightGray"/>
                <w:lang w:eastAsia="zh-CN"/>
              </w:rPr>
            </w:pPr>
            <w:r w:rsidRPr="001B1027">
              <w:rPr>
                <w:rFonts w:ascii="Arial" w:hAnsi="Arial" w:cs="Arial"/>
                <w:color w:val="000000"/>
                <w:szCs w:val="22"/>
                <w:lang w:eastAsia="zh-CN"/>
              </w:rPr>
              <w:t>National Police Check will be conducted as part of the selection process (for all non-DELWP employees).</w:t>
            </w:r>
          </w:p>
          <w:p w:rsidR="00CA3DB8" w:rsidRPr="001B1027" w:rsidRDefault="00CA3DB8" w:rsidP="007912C5">
            <w:pPr>
              <w:rPr>
                <w:rFonts w:ascii="Arial" w:hAnsi="Arial" w:cs="Arial"/>
                <w:szCs w:val="22"/>
              </w:rPr>
            </w:pPr>
          </w:p>
        </w:tc>
      </w:tr>
    </w:tbl>
    <w:p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Key Selection Criteria</w:t>
      </w:r>
    </w:p>
    <w:p w:rsidR="00CA3DB8" w:rsidRPr="001B1027" w:rsidRDefault="00CA3DB8" w:rsidP="00CA3DB8">
      <w:pPr>
        <w:rPr>
          <w:rFonts w:ascii="Arial" w:hAnsi="Arial"/>
          <w:szCs w:val="22"/>
        </w:rPr>
      </w:pPr>
      <w:r w:rsidRPr="001B1027">
        <w:rPr>
          <w:rFonts w:ascii="Arial" w:hAnsi="Arial"/>
          <w:szCs w:val="22"/>
        </w:rPr>
        <w:t>The key selection criteria specified below outline the capabilities required for the position.</w:t>
      </w:r>
    </w:p>
    <w:p w:rsidR="00CA3DB8" w:rsidRPr="00C336C0" w:rsidRDefault="00CA3DB8" w:rsidP="00CA3DB8">
      <w:pPr>
        <w:spacing w:before="160"/>
        <w:rPr>
          <w:rFonts w:cstheme="minorHAnsi"/>
          <w:b/>
          <w:szCs w:val="22"/>
        </w:rPr>
      </w:pPr>
      <w:r w:rsidRPr="00C336C0">
        <w:rPr>
          <w:rFonts w:cstheme="minorHAnsi"/>
          <w:b/>
          <w:szCs w:val="22"/>
        </w:rPr>
        <w:t>Specialist/Technical Expertise</w:t>
      </w:r>
    </w:p>
    <w:p w:rsidR="00C336C0" w:rsidRPr="00C336C0" w:rsidRDefault="00C336C0" w:rsidP="00C336C0">
      <w:pPr>
        <w:pStyle w:val="ListParagraph"/>
        <w:numPr>
          <w:ilvl w:val="0"/>
          <w:numId w:val="43"/>
        </w:numPr>
        <w:spacing w:after="200" w:line="276" w:lineRule="auto"/>
        <w:rPr>
          <w:rFonts w:cstheme="minorHAnsi"/>
        </w:rPr>
      </w:pPr>
      <w:r w:rsidRPr="00C336C0">
        <w:rPr>
          <w:rFonts w:cstheme="minorHAnsi"/>
        </w:rPr>
        <w:t>Tertiary qualification(s) including science, law, economics, public policy, natural resource or environmental management or similar is desirable but not essential.</w:t>
      </w:r>
    </w:p>
    <w:p w:rsidR="00CA3DB8" w:rsidRPr="00C336C0" w:rsidRDefault="00CA3DB8" w:rsidP="00CA3DB8">
      <w:pPr>
        <w:spacing w:before="160"/>
        <w:rPr>
          <w:rFonts w:cstheme="minorHAnsi"/>
          <w:b/>
          <w:szCs w:val="22"/>
        </w:rPr>
      </w:pPr>
      <w:r w:rsidRPr="00C336C0">
        <w:rPr>
          <w:rFonts w:cstheme="minorHAnsi"/>
          <w:b/>
          <w:szCs w:val="22"/>
        </w:rPr>
        <w:t>Knowledge and Skills</w:t>
      </w:r>
    </w:p>
    <w:p w:rsidR="00C336C0" w:rsidRDefault="00C336C0" w:rsidP="00C336C0">
      <w:pPr>
        <w:pStyle w:val="ListParagraph"/>
        <w:numPr>
          <w:ilvl w:val="0"/>
          <w:numId w:val="43"/>
        </w:numPr>
        <w:rPr>
          <w:rFonts w:cstheme="minorHAnsi"/>
          <w:szCs w:val="22"/>
        </w:rPr>
      </w:pPr>
      <w:r w:rsidRPr="00C336C0">
        <w:rPr>
          <w:rFonts w:cstheme="minorHAnsi"/>
          <w:b/>
          <w:szCs w:val="22"/>
        </w:rPr>
        <w:t>Written and Verbal Communication:</w:t>
      </w:r>
      <w:r w:rsidRPr="00C336C0">
        <w:rPr>
          <w:rFonts w:cstheme="minorHAnsi"/>
          <w:szCs w:val="22"/>
        </w:rPr>
        <w:t xml:space="preserve"> Identifies key messages and information required for decision making; considers the needs of target audiences; clearly and confidently communicates with people at all levels of the organisation; uses feedback to refine communication and ensure communications are understood.</w:t>
      </w:r>
    </w:p>
    <w:p w:rsidR="009310BB" w:rsidRPr="009310BB" w:rsidRDefault="009310BB" w:rsidP="009310BB">
      <w:pPr>
        <w:rPr>
          <w:rFonts w:cstheme="minorHAnsi"/>
          <w:szCs w:val="22"/>
        </w:rPr>
      </w:pPr>
    </w:p>
    <w:p w:rsidR="00C336C0" w:rsidRPr="00C336C0" w:rsidRDefault="00C336C0" w:rsidP="00C336C0">
      <w:pPr>
        <w:pStyle w:val="ListParagraph"/>
        <w:numPr>
          <w:ilvl w:val="0"/>
          <w:numId w:val="43"/>
        </w:numPr>
        <w:rPr>
          <w:rFonts w:cstheme="minorHAnsi"/>
          <w:szCs w:val="22"/>
        </w:rPr>
      </w:pPr>
      <w:r w:rsidRPr="00C336C0">
        <w:rPr>
          <w:rFonts w:cstheme="minorHAnsi"/>
          <w:b/>
          <w:szCs w:val="22"/>
        </w:rPr>
        <w:t xml:space="preserve">Research and analysis: </w:t>
      </w:r>
      <w:r w:rsidRPr="00C336C0">
        <w:rPr>
          <w:rFonts w:cstheme="minorHAnsi"/>
          <w:szCs w:val="22"/>
        </w:rPr>
        <w:t>Demonstrated ability to undertake research to support policy development or legislative reform; critically analyses information obtained so that it can be used to inform policy development or legislative reform as appropriate; scans for links and potential implications of proposed policy options; keeps up-to-date with a broad range of contemporary issues related to climate change.</w:t>
      </w:r>
    </w:p>
    <w:p w:rsidR="00C336C0" w:rsidRPr="00C336C0" w:rsidRDefault="00C336C0" w:rsidP="00C336C0">
      <w:pPr>
        <w:pStyle w:val="ListBullet"/>
        <w:numPr>
          <w:ilvl w:val="0"/>
          <w:numId w:val="43"/>
        </w:numPr>
        <w:rPr>
          <w:rFonts w:cstheme="minorHAnsi"/>
          <w:szCs w:val="22"/>
        </w:rPr>
      </w:pPr>
      <w:r w:rsidRPr="00C336C0">
        <w:rPr>
          <w:rFonts w:cstheme="minorHAnsi"/>
          <w:b/>
          <w:szCs w:val="22"/>
        </w:rPr>
        <w:lastRenderedPageBreak/>
        <w:t>Stakeholder Management:</w:t>
      </w:r>
      <w:r w:rsidRPr="00C336C0">
        <w:rPr>
          <w:rFonts w:cstheme="minorHAnsi"/>
          <w:szCs w:val="22"/>
        </w:rPr>
        <w:t xml:space="preserve"> Able to establish and maintain effective working relationships with stakeholders; Identifies and manages a range of complex and often competing needs; identifies issues in common for one or more stakeholders and uses them to build mutually beneficial partnerships; finds innovative solutions to resolve stakeholder issues.</w:t>
      </w:r>
    </w:p>
    <w:p w:rsidR="00C336C0" w:rsidRPr="00C336C0" w:rsidRDefault="00C336C0" w:rsidP="00C336C0">
      <w:pPr>
        <w:pStyle w:val="ListBullet"/>
        <w:numPr>
          <w:ilvl w:val="0"/>
          <w:numId w:val="43"/>
        </w:numPr>
        <w:rPr>
          <w:rFonts w:cstheme="minorHAnsi"/>
          <w:szCs w:val="22"/>
        </w:rPr>
      </w:pPr>
      <w:r w:rsidRPr="00C336C0">
        <w:rPr>
          <w:rFonts w:cstheme="minorHAnsi"/>
          <w:b/>
          <w:szCs w:val="22"/>
        </w:rPr>
        <w:t xml:space="preserve">Planning </w:t>
      </w:r>
      <w:r w:rsidR="004B7C60" w:rsidRPr="00C336C0">
        <w:rPr>
          <w:rFonts w:cstheme="minorHAnsi"/>
          <w:b/>
          <w:szCs w:val="22"/>
        </w:rPr>
        <w:t>and</w:t>
      </w:r>
      <w:r w:rsidRPr="00C336C0">
        <w:rPr>
          <w:rFonts w:cstheme="minorHAnsi"/>
          <w:b/>
          <w:szCs w:val="22"/>
        </w:rPr>
        <w:t xml:space="preserve"> Organising:</w:t>
      </w:r>
      <w:r w:rsidRPr="00C336C0">
        <w:rPr>
          <w:rFonts w:cstheme="minorHAnsi"/>
          <w:szCs w:val="22"/>
        </w:rPr>
        <w:t xml:space="preserve"> Sets time aside to think; understands objectives and priorities; liaises with others when organising work; anticipates barriers and finds effective ways to deal with them.</w:t>
      </w:r>
    </w:p>
    <w:p w:rsidR="00CA3DB8" w:rsidRPr="00026176" w:rsidRDefault="00CA3DB8" w:rsidP="00792396">
      <w:pPr>
        <w:pStyle w:val="DTPLIheadinggreen"/>
        <w:spacing w:before="120"/>
        <w:ind w:right="0"/>
        <w:rPr>
          <w:rFonts w:ascii="Arial" w:hAnsi="Arial"/>
          <w:b/>
          <w:i/>
          <w:color w:val="C1ECEA" w:themeColor="accent5" w:themeTint="99"/>
          <w:sz w:val="28"/>
          <w:szCs w:val="28"/>
          <w:lang w:eastAsia="zh-CN"/>
        </w:rPr>
      </w:pPr>
      <w:r w:rsidRPr="00792396">
        <w:rPr>
          <w:rFonts w:ascii="Arial" w:hAnsi="Arial"/>
          <w:b/>
          <w:color w:val="C1ECEA" w:themeColor="accent5" w:themeTint="99"/>
          <w:sz w:val="28"/>
          <w:szCs w:val="28"/>
          <w:lang w:eastAsia="zh-CN"/>
        </w:rPr>
        <w:t>Department Values</w:t>
      </w:r>
    </w:p>
    <w:p w:rsidR="00CA3DB8" w:rsidRPr="001B1027" w:rsidRDefault="00CA3DB8" w:rsidP="00CA3DB8">
      <w:pPr>
        <w:rPr>
          <w:rFonts w:ascii="Arial" w:hAnsi="Arial"/>
          <w:color w:val="000000"/>
          <w:szCs w:val="22"/>
        </w:rPr>
      </w:pPr>
      <w:r w:rsidRPr="001B1027">
        <w:rPr>
          <w:rFonts w:ascii="Arial" w:hAnsi="Arial"/>
          <w:color w:val="000000"/>
          <w:szCs w:val="22"/>
        </w:rPr>
        <w:t xml:space="preserve">Our values underpin everything we do. How we deliver our work is as important as the outcomes we achieve for the Victorian community. Our values are the foundation of our culture and guide how we work together, with our ministers, stakeholders, partners and the community.  </w:t>
      </w:r>
    </w:p>
    <w:p w:rsidR="00CA3DB8" w:rsidRPr="001B1027" w:rsidRDefault="00CA3DB8" w:rsidP="00CA3DB8">
      <w:pPr>
        <w:rPr>
          <w:rFonts w:ascii="Arial" w:hAnsi="Arial"/>
          <w:color w:val="000000"/>
          <w:szCs w:val="22"/>
        </w:rPr>
      </w:pPr>
    </w:p>
    <w:p w:rsidR="00CA3DB8" w:rsidRPr="001B1027" w:rsidRDefault="00CA3DB8" w:rsidP="00CA3DB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olor w:val="000000"/>
          <w:szCs w:val="22"/>
        </w:rPr>
      </w:pPr>
      <w:r w:rsidRPr="001B1027">
        <w:rPr>
          <w:rFonts w:ascii="Arial" w:hAnsi="Arial"/>
          <w:color w:val="000000"/>
          <w:szCs w:val="22"/>
        </w:rPr>
        <w:t xml:space="preserve">The departments values are: </w:t>
      </w:r>
      <w:r w:rsidR="004B7C60" w:rsidRPr="001B1027">
        <w:rPr>
          <w:rFonts w:ascii="Arial" w:hAnsi="Arial"/>
          <w:b/>
          <w:color w:val="000000"/>
          <w:szCs w:val="22"/>
        </w:rPr>
        <w:t>Teamwork</w:t>
      </w:r>
      <w:r w:rsidR="004B7C60" w:rsidRPr="001B1027">
        <w:rPr>
          <w:rFonts w:ascii="Arial" w:hAnsi="Arial"/>
          <w:color w:val="000000"/>
          <w:szCs w:val="22"/>
        </w:rPr>
        <w:t>, Service</w:t>
      </w:r>
      <w:r w:rsidRPr="001B1027">
        <w:rPr>
          <w:rFonts w:ascii="Arial" w:hAnsi="Arial"/>
          <w:b/>
          <w:color w:val="000000"/>
          <w:szCs w:val="22"/>
        </w:rPr>
        <w:t xml:space="preserve"> </w:t>
      </w:r>
      <w:r w:rsidR="004B7C60" w:rsidRPr="001B1027">
        <w:rPr>
          <w:rFonts w:ascii="Arial" w:hAnsi="Arial"/>
          <w:b/>
          <w:color w:val="000000"/>
          <w:szCs w:val="22"/>
        </w:rPr>
        <w:t>Excellence</w:t>
      </w:r>
      <w:r w:rsidR="004B7C60" w:rsidRPr="001B1027">
        <w:rPr>
          <w:rFonts w:ascii="Arial" w:hAnsi="Arial"/>
          <w:color w:val="000000"/>
          <w:szCs w:val="22"/>
        </w:rPr>
        <w:t>, Ownership</w:t>
      </w:r>
      <w:r w:rsidRPr="001B1027">
        <w:rPr>
          <w:rFonts w:ascii="Arial" w:hAnsi="Arial"/>
          <w:color w:val="000000"/>
          <w:szCs w:val="22"/>
        </w:rPr>
        <w:t xml:space="preserve"> and </w:t>
      </w:r>
      <w:r w:rsidRPr="001B1027">
        <w:rPr>
          <w:rFonts w:ascii="Arial" w:hAnsi="Arial"/>
          <w:b/>
          <w:color w:val="000000"/>
          <w:szCs w:val="22"/>
        </w:rPr>
        <w:t>Wellbeing &amp; Safety</w:t>
      </w:r>
      <w:r w:rsidRPr="001B1027">
        <w:rPr>
          <w:rFonts w:ascii="Arial" w:hAnsi="Arial"/>
          <w:color w:val="000000"/>
          <w:szCs w:val="22"/>
        </w:rPr>
        <w:t xml:space="preserve">. </w:t>
      </w:r>
    </w:p>
    <w:p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Emergency Response and Health and Safety Requirements</w:t>
      </w:r>
    </w:p>
    <w:p w:rsidR="00CA3DB8" w:rsidRPr="001B1027" w:rsidRDefault="00CA3DB8" w:rsidP="00CA3DB8">
      <w:pPr>
        <w:pStyle w:val="ListParagraph"/>
        <w:spacing w:after="240" w:line="240" w:lineRule="auto"/>
        <w:ind w:left="0"/>
        <w:outlineLvl w:val="1"/>
        <w:rPr>
          <w:rFonts w:ascii="Arial" w:hAnsi="Arial"/>
        </w:rPr>
      </w:pPr>
      <w:r w:rsidRPr="001B1027">
        <w:rPr>
          <w:rFonts w:ascii="Arial" w:hAnsi="Arial"/>
        </w:rPr>
        <w:t>The department</w:t>
      </w:r>
      <w:r w:rsidRPr="001B1027">
        <w:rPr>
          <w:rFonts w:ascii="Arial" w:hAnsi="Arial"/>
          <w:b/>
        </w:rPr>
        <w:t xml:space="preserve"> </w:t>
      </w:r>
      <w:r w:rsidRPr="001B1027">
        <w:rPr>
          <w:rFonts w:ascii="Arial" w:hAnsi="Arial"/>
        </w:rPr>
        <w:t>plays a major role in Victoria’s emergency response activities, through an all-hazards, all-agencies approach.  Staff may be directly employed for these roles or may be called upon to support these activities as required following the appropriate training and “fit for work” assessment.</w:t>
      </w:r>
    </w:p>
    <w:p w:rsidR="00CA3DB8" w:rsidRPr="001B1027" w:rsidRDefault="00CA3DB8" w:rsidP="00CA3DB8">
      <w:pPr>
        <w:pStyle w:val="ListParagraph"/>
        <w:spacing w:after="240" w:line="240" w:lineRule="auto"/>
        <w:ind w:left="0"/>
        <w:outlineLvl w:val="1"/>
        <w:rPr>
          <w:rFonts w:ascii="Arial" w:hAnsi="Arial"/>
        </w:rPr>
      </w:pPr>
    </w:p>
    <w:p w:rsidR="00CA3DB8" w:rsidRPr="001B1027" w:rsidRDefault="00CA3DB8" w:rsidP="00CA3DB8">
      <w:pPr>
        <w:pStyle w:val="ListParagraph"/>
        <w:spacing w:line="240" w:lineRule="auto"/>
        <w:ind w:left="0"/>
        <w:outlineLvl w:val="1"/>
        <w:rPr>
          <w:rFonts w:ascii="Arial" w:hAnsi="Arial"/>
        </w:rPr>
      </w:pPr>
      <w:r w:rsidRPr="001B1027">
        <w:rPr>
          <w:rFonts w:ascii="Arial" w:hAnsi="Arial"/>
        </w:rPr>
        <w:t>The occupational health and safety requirements of this position include, but are not limited to:</w:t>
      </w:r>
    </w:p>
    <w:p w:rsidR="00CA3DB8" w:rsidRPr="001B1027" w:rsidRDefault="00CA3DB8" w:rsidP="00CA3DB8">
      <w:pPr>
        <w:pStyle w:val="ListParagraph"/>
        <w:numPr>
          <w:ilvl w:val="0"/>
          <w:numId w:val="45"/>
        </w:numPr>
        <w:spacing w:after="240" w:line="240" w:lineRule="auto"/>
        <w:outlineLvl w:val="1"/>
        <w:rPr>
          <w:rFonts w:ascii="Arial" w:hAnsi="Arial"/>
        </w:rPr>
      </w:pPr>
      <w:r w:rsidRPr="001B1027">
        <w:rPr>
          <w:rFonts w:ascii="Arial" w:hAnsi="Arial"/>
        </w:rPr>
        <w:t>Sedentary desk work</w:t>
      </w:r>
    </w:p>
    <w:p w:rsidR="00CA3DB8" w:rsidRPr="001B1027" w:rsidRDefault="00CA3DB8" w:rsidP="00CA3DB8">
      <w:pPr>
        <w:pStyle w:val="DTPLIheadinggreen"/>
        <w:spacing w:before="120"/>
        <w:ind w:right="0"/>
        <w:rPr>
          <w:rFonts w:ascii="Arial" w:hAnsi="Arial"/>
          <w:b/>
          <w:color w:val="C1ECEA" w:themeColor="accent5" w:themeTint="99"/>
          <w:sz w:val="28"/>
          <w:szCs w:val="28"/>
          <w:lang w:eastAsia="zh-CN"/>
        </w:rPr>
      </w:pPr>
      <w:r w:rsidRPr="001B1027">
        <w:rPr>
          <w:rFonts w:ascii="Arial" w:hAnsi="Arial"/>
          <w:b/>
          <w:color w:val="C1ECEA" w:themeColor="accent5" w:themeTint="99"/>
          <w:sz w:val="28"/>
          <w:szCs w:val="28"/>
          <w:lang w:eastAsia="zh-CN"/>
        </w:rPr>
        <w:t>Other relevant information</w:t>
      </w:r>
    </w:p>
    <w:p w:rsidR="00CA3DB8" w:rsidRPr="001B1027" w:rsidRDefault="00CA3DB8" w:rsidP="00CA3DB8">
      <w:pPr>
        <w:spacing w:before="120" w:after="120"/>
        <w:rPr>
          <w:rFonts w:ascii="Arial" w:hAnsi="Arial"/>
          <w:b/>
          <w:szCs w:val="22"/>
        </w:rPr>
      </w:pPr>
      <w:r w:rsidRPr="001B1027">
        <w:rPr>
          <w:rFonts w:ascii="Arial" w:hAnsi="Arial"/>
          <w:b/>
          <w:szCs w:val="22"/>
        </w:rPr>
        <w:t>Employment Eligibility</w:t>
      </w:r>
    </w:p>
    <w:p w:rsidR="00CA3DB8" w:rsidRPr="001B1027" w:rsidRDefault="00CA3DB8" w:rsidP="00CA3DB8">
      <w:pPr>
        <w:numPr>
          <w:ilvl w:val="0"/>
          <w:numId w:val="44"/>
        </w:numPr>
        <w:tabs>
          <w:tab w:val="left" w:pos="360"/>
          <w:tab w:val="left" w:pos="720"/>
        </w:tabs>
        <w:autoSpaceDE w:val="0"/>
        <w:autoSpaceDN w:val="0"/>
        <w:adjustRightInd w:val="0"/>
        <w:spacing w:line="240" w:lineRule="auto"/>
        <w:ind w:left="357" w:hanging="357"/>
        <w:rPr>
          <w:rFonts w:ascii="Arial" w:hAnsi="Arial"/>
          <w:color w:val="000000"/>
          <w:szCs w:val="22"/>
        </w:rPr>
      </w:pPr>
      <w:r w:rsidRPr="001B1027">
        <w:rPr>
          <w:rFonts w:ascii="Arial" w:hAnsi="Arial"/>
          <w:color w:val="000000"/>
          <w:szCs w:val="22"/>
        </w:rPr>
        <w:t>Recipients of Victorian Public Service (VPS) voluntary departure packages should note that re-employment restrictions apply</w:t>
      </w:r>
    </w:p>
    <w:p w:rsidR="00CA3DB8" w:rsidRPr="001B1027" w:rsidRDefault="004B7C60" w:rsidP="00CA3DB8">
      <w:pPr>
        <w:numPr>
          <w:ilvl w:val="0"/>
          <w:numId w:val="44"/>
        </w:numPr>
        <w:tabs>
          <w:tab w:val="left" w:pos="360"/>
          <w:tab w:val="left" w:pos="720"/>
        </w:tabs>
        <w:autoSpaceDE w:val="0"/>
        <w:autoSpaceDN w:val="0"/>
        <w:adjustRightInd w:val="0"/>
        <w:spacing w:line="240" w:lineRule="auto"/>
        <w:ind w:left="357" w:hanging="357"/>
        <w:rPr>
          <w:rFonts w:ascii="Arial" w:hAnsi="Arial"/>
          <w:color w:val="000000"/>
          <w:szCs w:val="22"/>
        </w:rPr>
      </w:pPr>
      <w:r w:rsidRPr="001B1027">
        <w:rPr>
          <w:rFonts w:ascii="Arial" w:hAnsi="Arial"/>
          <w:color w:val="000000"/>
          <w:szCs w:val="22"/>
        </w:rPr>
        <w:t>Non- VPS</w:t>
      </w:r>
      <w:r w:rsidR="00CA3DB8" w:rsidRPr="001B1027">
        <w:rPr>
          <w:rFonts w:ascii="Arial" w:hAnsi="Arial"/>
          <w:color w:val="000000"/>
          <w:szCs w:val="22"/>
        </w:rPr>
        <w:t xml:space="preserve"> applicants will be subject to a probation period of three months</w:t>
      </w:r>
    </w:p>
    <w:p w:rsidR="00CA3DB8" w:rsidRPr="001B1027" w:rsidRDefault="00CA3DB8" w:rsidP="00CA3DB8">
      <w:pPr>
        <w:spacing w:before="120" w:after="120"/>
        <w:rPr>
          <w:rFonts w:ascii="Arial" w:hAnsi="Arial"/>
          <w:b/>
          <w:szCs w:val="22"/>
        </w:rPr>
      </w:pPr>
      <w:r w:rsidRPr="001B1027">
        <w:rPr>
          <w:rFonts w:ascii="Arial" w:hAnsi="Arial"/>
          <w:b/>
          <w:szCs w:val="22"/>
        </w:rPr>
        <w:t>Join a Workplace Based on Fair Employment</w:t>
      </w:r>
    </w:p>
    <w:p w:rsidR="00CA3DB8" w:rsidRPr="001B1027" w:rsidRDefault="00CA3DB8" w:rsidP="00CA3DB8">
      <w:pPr>
        <w:rPr>
          <w:rFonts w:ascii="Arial" w:eastAsia="Calibri" w:hAnsi="Arial"/>
          <w:szCs w:val="22"/>
        </w:rPr>
      </w:pPr>
      <w:r w:rsidRPr="001B1027">
        <w:rPr>
          <w:rFonts w:ascii="Arial" w:eastAsia="Calibri" w:hAnsi="Arial"/>
          <w:szCs w:val="22"/>
        </w:rPr>
        <w:t>The department offers fair employment and career opportunities.  We aim to attract a diverse pool of applicants and focus on the genuine and essential requirements of the job and being consistent and fair in our treatment of applicants.</w:t>
      </w:r>
    </w:p>
    <w:p w:rsidR="00CA3DB8" w:rsidRPr="001B1027" w:rsidRDefault="00CA3DB8" w:rsidP="00CA3DB8">
      <w:pPr>
        <w:spacing w:before="120" w:after="120"/>
        <w:rPr>
          <w:rFonts w:ascii="Arial" w:hAnsi="Arial"/>
          <w:b/>
          <w:szCs w:val="22"/>
        </w:rPr>
      </w:pPr>
      <w:r w:rsidRPr="001B1027">
        <w:rPr>
          <w:rFonts w:ascii="Arial" w:hAnsi="Arial"/>
          <w:b/>
          <w:szCs w:val="22"/>
        </w:rPr>
        <w:t>Balancing your Life</w:t>
      </w:r>
    </w:p>
    <w:p w:rsidR="00CA3DB8" w:rsidRPr="001B1027" w:rsidRDefault="00CA3DB8" w:rsidP="00CA3DB8">
      <w:pPr>
        <w:spacing w:before="120" w:after="120"/>
        <w:rPr>
          <w:rFonts w:ascii="Arial" w:eastAsia="Calibri" w:hAnsi="Arial"/>
          <w:szCs w:val="22"/>
        </w:rPr>
      </w:pPr>
      <w:r w:rsidRPr="001B1027">
        <w:rPr>
          <w:rFonts w:ascii="Arial" w:eastAsia="Calibri" w:hAnsi="Arial"/>
          <w:szCs w:val="22"/>
        </w:rPr>
        <w:t>We understand that life balance is an important part of our employees’ lives.  The department offers a wide range of flexible arrangements to enable you to balance your work with other commitments and activities including family, health, study, carer responsibilities, hobbies and life/career aspirations.  We provide various options such as flexible start and finishing times, working part time, job sharing, working from home and paid leave provisions that can be negotiated with your manager to help balance your personal commitments with the demands of the role.</w:t>
      </w:r>
    </w:p>
    <w:p w:rsidR="00CA3DB8" w:rsidRPr="001B1027" w:rsidRDefault="00CA3DB8" w:rsidP="00CA3DB8">
      <w:pPr>
        <w:spacing w:before="120" w:after="120"/>
        <w:rPr>
          <w:rFonts w:ascii="Arial" w:hAnsi="Arial"/>
          <w:b/>
          <w:szCs w:val="22"/>
        </w:rPr>
      </w:pPr>
      <w:r w:rsidRPr="001B1027">
        <w:rPr>
          <w:rFonts w:ascii="Arial" w:hAnsi="Arial"/>
          <w:b/>
          <w:szCs w:val="22"/>
        </w:rPr>
        <w:t>Equal Opportunity Employer</w:t>
      </w:r>
    </w:p>
    <w:p w:rsidR="00CA3DB8" w:rsidRPr="001B1027" w:rsidRDefault="00CA3DB8" w:rsidP="00CA3DB8">
      <w:pPr>
        <w:rPr>
          <w:rFonts w:ascii="Arial" w:hAnsi="Arial"/>
          <w:color w:val="000000"/>
          <w:szCs w:val="22"/>
        </w:rPr>
      </w:pPr>
      <w:r w:rsidRPr="001B1027">
        <w:rPr>
          <w:rFonts w:ascii="Arial" w:hAnsi="Arial"/>
          <w:color w:val="000000"/>
          <w:szCs w:val="22"/>
        </w:rPr>
        <w:t xml:space="preserve">The department is an equal opportunity employer and welcomes applicants from a diverse range of backgrounds.  </w:t>
      </w:r>
    </w:p>
    <w:p w:rsidR="00CA3DB8" w:rsidRPr="001B1027" w:rsidRDefault="00CA3DB8" w:rsidP="00CA3DB8">
      <w:pPr>
        <w:rPr>
          <w:rFonts w:ascii="Arial" w:hAnsi="Arial"/>
          <w:color w:val="000000"/>
          <w:szCs w:val="22"/>
        </w:rPr>
      </w:pPr>
      <w:r w:rsidRPr="001B1027">
        <w:rPr>
          <w:rFonts w:ascii="Arial" w:hAnsi="Arial"/>
          <w:color w:val="000000"/>
          <w:szCs w:val="22"/>
        </w:rPr>
        <w:t>It is a policy of the department to provide reasonable adjustments for persons with a disability. If you need assistance or adjustments to fully participate in the application or interview process, please use the contact listed under ‘Position Details’.</w:t>
      </w:r>
    </w:p>
    <w:p w:rsidR="00CA3DB8" w:rsidRPr="001B1027" w:rsidRDefault="00CA3DB8" w:rsidP="00CA3DB8">
      <w:pPr>
        <w:spacing w:before="120" w:after="120"/>
        <w:rPr>
          <w:rFonts w:ascii="Arial" w:hAnsi="Arial"/>
          <w:b/>
          <w:szCs w:val="22"/>
        </w:rPr>
      </w:pPr>
      <w:r w:rsidRPr="001B1027">
        <w:rPr>
          <w:rFonts w:ascii="Arial" w:hAnsi="Arial"/>
          <w:b/>
          <w:szCs w:val="22"/>
        </w:rPr>
        <w:t>Terms and Conditions</w:t>
      </w:r>
    </w:p>
    <w:p w:rsidR="00CA3DB8" w:rsidRPr="001B1027" w:rsidRDefault="00CA3DB8" w:rsidP="00CA3DB8">
      <w:pPr>
        <w:pStyle w:val="ListParagraph"/>
        <w:spacing w:line="240" w:lineRule="auto"/>
        <w:ind w:left="0"/>
        <w:contextualSpacing w:val="0"/>
        <w:outlineLvl w:val="1"/>
        <w:rPr>
          <w:rFonts w:ascii="Arial" w:hAnsi="Arial"/>
        </w:rPr>
      </w:pPr>
      <w:r w:rsidRPr="001B1027">
        <w:rPr>
          <w:rFonts w:ascii="Arial" w:hAnsi="Arial"/>
        </w:rPr>
        <w:t xml:space="preserve">Conditions of employment will be governed by the </w:t>
      </w:r>
      <w:r w:rsidRPr="001B1027">
        <w:rPr>
          <w:rFonts w:ascii="Arial" w:hAnsi="Arial"/>
          <w:i/>
        </w:rPr>
        <w:t>Victorian Public Service Enterprise Agreement 2016</w:t>
      </w:r>
      <w:r w:rsidRPr="001B1027">
        <w:rPr>
          <w:rFonts w:ascii="Arial" w:hAnsi="Arial"/>
        </w:rPr>
        <w:t xml:space="preserve"> and the </w:t>
      </w:r>
      <w:r w:rsidRPr="001B1027">
        <w:rPr>
          <w:rFonts w:ascii="Arial" w:hAnsi="Arial"/>
          <w:i/>
        </w:rPr>
        <w:t>Public Administration Act.</w:t>
      </w:r>
    </w:p>
    <w:p w:rsidR="00CA3DB8" w:rsidRPr="001B1027" w:rsidRDefault="00CA3DB8" w:rsidP="00CA3DB8">
      <w:pPr>
        <w:spacing w:before="120" w:after="120"/>
        <w:rPr>
          <w:rFonts w:ascii="Arial" w:hAnsi="Arial"/>
          <w:b/>
          <w:szCs w:val="22"/>
        </w:rPr>
      </w:pPr>
      <w:r w:rsidRPr="001B1027">
        <w:rPr>
          <w:rFonts w:ascii="Arial" w:hAnsi="Arial"/>
          <w:b/>
          <w:szCs w:val="22"/>
        </w:rPr>
        <w:t>Privacy and Probity</w:t>
      </w:r>
    </w:p>
    <w:p w:rsidR="00CA3DB8" w:rsidRPr="001B1027" w:rsidRDefault="00CA3DB8" w:rsidP="00CA3DB8">
      <w:pPr>
        <w:spacing w:line="276" w:lineRule="auto"/>
        <w:outlineLvl w:val="1"/>
        <w:rPr>
          <w:rFonts w:ascii="Arial" w:eastAsia="Calibri" w:hAnsi="Arial"/>
          <w:szCs w:val="22"/>
        </w:rPr>
      </w:pPr>
      <w:r w:rsidRPr="001B1027">
        <w:rPr>
          <w:rFonts w:ascii="Arial" w:eastAsia="Calibri" w:hAnsi="Arial"/>
          <w:szCs w:val="22"/>
        </w:rPr>
        <w:t xml:space="preserve">The department affirms that the collection and handling of applications and personal information will be consistent with the requirements of the </w:t>
      </w:r>
      <w:r w:rsidRPr="001B1027">
        <w:rPr>
          <w:rFonts w:ascii="Arial" w:hAnsi="Arial"/>
          <w:i/>
          <w:iCs/>
          <w:color w:val="000000"/>
          <w:szCs w:val="22"/>
        </w:rPr>
        <w:t>Privacy and Data Protection Act 2014.</w:t>
      </w:r>
    </w:p>
    <w:p w:rsidR="00CA3DB8" w:rsidRPr="001B1027" w:rsidRDefault="00CA3DB8" w:rsidP="00CA3DB8">
      <w:pPr>
        <w:pStyle w:val="BodyTextIndent"/>
        <w:spacing w:before="120"/>
        <w:ind w:left="0"/>
        <w:rPr>
          <w:rFonts w:ascii="Arial" w:hAnsi="Arial" w:cs="Arial"/>
          <w:szCs w:val="22"/>
        </w:rPr>
      </w:pPr>
    </w:p>
    <w:p w:rsidR="00CA3DB8" w:rsidRPr="001B1027" w:rsidRDefault="00CA3DB8" w:rsidP="00CA3DB8">
      <w:pPr>
        <w:pStyle w:val="BodyTextIndent"/>
        <w:spacing w:before="120"/>
        <w:ind w:left="0"/>
        <w:rPr>
          <w:rFonts w:ascii="Arial" w:hAnsi="Arial" w:cs="Arial"/>
          <w:szCs w:val="22"/>
        </w:rPr>
      </w:pPr>
    </w:p>
    <w:p w:rsidR="00CA3DB8" w:rsidRPr="001B1027" w:rsidRDefault="00CA3DB8" w:rsidP="00CA3DB8">
      <w:pPr>
        <w:pStyle w:val="BodyTextIndent"/>
        <w:spacing w:before="120"/>
        <w:ind w:left="0"/>
        <w:rPr>
          <w:rFonts w:ascii="Arial" w:hAnsi="Arial" w:cs="Arial"/>
          <w:sz w:val="28"/>
          <w:szCs w:val="28"/>
        </w:rPr>
      </w:pPr>
      <w:r w:rsidRPr="001B1027">
        <w:rPr>
          <w:rFonts w:ascii="Arial" w:hAnsi="Arial" w:cs="Arial"/>
          <w:sz w:val="28"/>
          <w:szCs w:val="28"/>
        </w:rPr>
        <w:t xml:space="preserve">If you would like to receive this information/publication in an accessible format (such as large print or audio) please call the Customer Service Centre on: 136 186, TTY: 133 677, or email </w:t>
      </w:r>
      <w:hyperlink r:id="rId8" w:history="1">
        <w:r w:rsidRPr="001B1027">
          <w:rPr>
            <w:rStyle w:val="Hyperlink"/>
            <w:rFonts w:ascii="Arial" w:eastAsiaTheme="majorEastAsia" w:hAnsi="Arial" w:cs="Arial"/>
            <w:szCs w:val="28"/>
          </w:rPr>
          <w:t>customer.service@delwp.vic.gov.au</w:t>
        </w:r>
      </w:hyperlink>
      <w:r w:rsidRPr="001B1027">
        <w:rPr>
          <w:rFonts w:ascii="Arial" w:hAnsi="Arial" w:cs="Arial"/>
          <w:sz w:val="28"/>
          <w:szCs w:val="28"/>
        </w:rPr>
        <w:t xml:space="preserve"> .</w:t>
      </w:r>
    </w:p>
    <w:p w:rsidR="00CA3DB8" w:rsidRPr="001B1027" w:rsidRDefault="00CA3DB8" w:rsidP="00CA3DB8">
      <w:pPr>
        <w:pStyle w:val="DTPLIintrotext"/>
        <w:ind w:right="0"/>
        <w:rPr>
          <w:rFonts w:ascii="Arial" w:hAnsi="Arial"/>
          <w:sz w:val="22"/>
          <w:szCs w:val="22"/>
        </w:rPr>
      </w:pPr>
    </w:p>
    <w:p w:rsidR="006E1C8D" w:rsidRDefault="006E1C8D" w:rsidP="00CA3DB8">
      <w:pPr>
        <w:pStyle w:val="IntroFeatureText"/>
      </w:pPr>
    </w:p>
    <w:sectPr w:rsidR="006E1C8D" w:rsidSect="00CF498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11"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AFB" w:rsidRDefault="00526AFB">
      <w:r>
        <w:separator/>
      </w:r>
    </w:p>
    <w:p w:rsidR="00526AFB" w:rsidRDefault="00526AFB"/>
    <w:p w:rsidR="00526AFB" w:rsidRDefault="00526AFB"/>
  </w:endnote>
  <w:endnote w:type="continuationSeparator" w:id="0">
    <w:p w:rsidR="00526AFB" w:rsidRDefault="00526AFB">
      <w:r>
        <w:continuationSeparator/>
      </w:r>
    </w:p>
    <w:p w:rsidR="00526AFB" w:rsidRDefault="00526AFB"/>
    <w:p w:rsidR="00526AFB" w:rsidRDefault="0052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rsidTr="00674EEB">
      <w:trPr>
        <w:trHeight w:val="397"/>
      </w:trPr>
      <w:tc>
        <w:tcPr>
          <w:tcW w:w="340" w:type="dxa"/>
        </w:tcPr>
        <w:p w:rsidR="00250538" w:rsidRPr="00CA3DB8" w:rsidRDefault="00250538" w:rsidP="00250538">
          <w:pPr>
            <w:pStyle w:val="FooterEvenPageNumber"/>
            <w:framePr w:wrap="auto" w:vAnchor="margin" w:hAnchor="text" w:yAlign="inline"/>
            <w:rPr>
              <w:szCs w:val="16"/>
            </w:rPr>
          </w:pPr>
          <w:r w:rsidRPr="00CA3DB8">
            <w:rPr>
              <w:szCs w:val="16"/>
            </w:rPr>
            <w:fldChar w:fldCharType="begin"/>
          </w:r>
          <w:r w:rsidRPr="00CA3DB8">
            <w:rPr>
              <w:szCs w:val="16"/>
            </w:rPr>
            <w:instrText xml:space="preserve"> PAGE   \* MERGEFORMAT </w:instrText>
          </w:r>
          <w:r w:rsidRPr="00CA3DB8">
            <w:rPr>
              <w:szCs w:val="16"/>
            </w:rPr>
            <w:fldChar w:fldCharType="separate"/>
          </w:r>
          <w:r w:rsidR="00542586">
            <w:rPr>
              <w:noProof/>
              <w:szCs w:val="16"/>
            </w:rPr>
            <w:t>4</w:t>
          </w:r>
          <w:r w:rsidRPr="00CA3DB8">
            <w:rPr>
              <w:szCs w:val="16"/>
            </w:rPr>
            <w:fldChar w:fldCharType="end"/>
          </w:r>
        </w:p>
      </w:tc>
      <w:tc>
        <w:tcPr>
          <w:tcW w:w="9071" w:type="dxa"/>
        </w:tcPr>
        <w:p w:rsidR="00250538" w:rsidRPr="00CA3DB8" w:rsidRDefault="006E2410" w:rsidP="00CA3DB8">
          <w:pPr>
            <w:jc w:val="right"/>
            <w:rPr>
              <w:sz w:val="16"/>
              <w:szCs w:val="16"/>
            </w:rPr>
          </w:pPr>
          <w:r>
            <w:rPr>
              <w:b/>
              <w:sz w:val="16"/>
              <w:szCs w:val="16"/>
            </w:rPr>
            <w:t>October</w:t>
          </w:r>
          <w:r w:rsidR="00CA3DB8" w:rsidRPr="00CA3DB8">
            <w:rPr>
              <w:b/>
              <w:sz w:val="16"/>
              <w:szCs w:val="16"/>
            </w:rPr>
            <w:t xml:space="preserve"> 2016</w:t>
          </w:r>
        </w:p>
      </w:tc>
    </w:tr>
  </w:tbl>
  <w:p w:rsidR="00250538" w:rsidRDefault="00250538" w:rsidP="00250538">
    <w:pPr>
      <w:pStyle w:val="FooterEven"/>
    </w:pPr>
    <w:r w:rsidRPr="00D55628">
      <w:rPr>
        <w:noProof/>
      </w:rPr>
      <mc:AlternateContent>
        <mc:Choice Requires="wps">
          <w:drawing>
            <wp:anchor distT="0" distB="0" distL="114300" distR="114300" simplePos="0" relativeHeight="251657728" behindDoc="1" locked="1" layoutInCell="1" allowOverlap="1" wp14:anchorId="2EAF846A" wp14:editId="1E77963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846A"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rsidTr="00674EEB">
      <w:trPr>
        <w:trHeight w:val="397"/>
      </w:trPr>
      <w:tc>
        <w:tcPr>
          <w:tcW w:w="9071" w:type="dxa"/>
        </w:tcPr>
        <w:p w:rsidR="00250538" w:rsidRPr="00CB1FB7" w:rsidRDefault="006E2410" w:rsidP="00CA3DB8">
          <w:pPr>
            <w:pStyle w:val="FooterOdd"/>
            <w:jc w:val="left"/>
            <w:rPr>
              <w:b/>
            </w:rPr>
          </w:pPr>
          <w:r>
            <w:rPr>
              <w:b/>
            </w:rPr>
            <w:t>October</w:t>
          </w:r>
          <w:r w:rsidR="00CA3DB8">
            <w:rPr>
              <w:b/>
            </w:rPr>
            <w:t xml:space="preserve"> 2016</w:t>
          </w:r>
        </w:p>
      </w:tc>
      <w:tc>
        <w:tcPr>
          <w:tcW w:w="340" w:type="dxa"/>
        </w:tcPr>
        <w:p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542586">
            <w:rPr>
              <w:noProof/>
            </w:rPr>
            <w:t>3</w:t>
          </w:r>
          <w:r w:rsidRPr="00D55628">
            <w:fldChar w:fldCharType="end"/>
          </w:r>
        </w:p>
      </w:tc>
    </w:tr>
  </w:tbl>
  <w:p w:rsidR="00250538" w:rsidRDefault="00250538" w:rsidP="00250538">
    <w:pPr>
      <w:pStyle w:val="Footer"/>
    </w:pPr>
    <w:r w:rsidRPr="00D55628">
      <w:rPr>
        <w:noProof/>
      </w:rPr>
      <mc:AlternateContent>
        <mc:Choice Requires="wps">
          <w:drawing>
            <wp:anchor distT="0" distB="0" distL="114300" distR="114300" simplePos="0" relativeHeight="251660288" behindDoc="1" locked="1" layoutInCell="1" allowOverlap="1" wp14:anchorId="6CC9E523" wp14:editId="18685BEA">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E52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209C4" w:rsidRDefault="00A209C4" w:rsidP="00213C82">
    <w:pPr>
      <w:pStyle w:val="Footer"/>
    </w:pPr>
    <w:r w:rsidRPr="00D55628">
      <w:rPr>
        <w:noProof/>
      </w:rPr>
      <mc:AlternateContent>
        <mc:Choice Requires="wps">
          <w:drawing>
            <wp:anchor distT="0" distB="0" distL="114300" distR="114300" simplePos="0" relativeHeight="251649024" behindDoc="1" locked="1" layoutInCell="1" allowOverlap="1" wp14:anchorId="769ADE92" wp14:editId="2E597A9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DE92" id="_x0000_s1028" type="#_x0000_t202" alt="Title: Background Watermark Image" style="position:absolute;margin-left:0;margin-top:0;width:595.3pt;height:141.45pt;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538" w:rsidRDefault="00250538" w:rsidP="0025053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42586">
      <w:rPr>
        <w:noProof/>
      </w:rPr>
      <w:t>2018</w:t>
    </w:r>
    <w:r>
      <w:fldChar w:fldCharType="end"/>
    </w:r>
  </w:p>
  <w:p w:rsidR="00A209C4" w:rsidRDefault="00A209C4" w:rsidP="00250538">
    <w:pPr>
      <w:pStyle w:val="Footer"/>
      <w:spacing w:before="1080"/>
    </w:pPr>
    <w:r>
      <w:rPr>
        <w:noProof/>
        <w:sz w:val="18"/>
      </w:rPr>
      <mc:AlternateContent>
        <mc:Choice Requires="wps">
          <w:drawing>
            <wp:anchor distT="0" distB="0" distL="114300" distR="114300" simplePos="0" relativeHeight="251670528" behindDoc="0" locked="1" layoutInCell="1" allowOverlap="1" wp14:anchorId="5B7E81CE" wp14:editId="1F46B29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E81CE" id="_x0000_t202" coordsize="21600,21600" o:spt="202" path="m,l,21600r21600,l21600,xe">
              <v:stroke joinstyle="miter"/>
              <v:path gradientshapeok="t" o:connecttype="rect"/>
            </v:shapetype>
            <v:shape id="WebAddress" o:spid="_x0000_s1029" type="#_x0000_t202" style="position:absolute;margin-left:0;margin-top:0;width:303pt;height:56.7pt;z-index:2516705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5408" behindDoc="1" locked="1" layoutInCell="1" allowOverlap="1" wp14:anchorId="763E6D99" wp14:editId="53FF7480">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AFB" w:rsidRPr="008F5280" w:rsidRDefault="00526AFB" w:rsidP="008F5280">
      <w:pPr>
        <w:pStyle w:val="FootnoteSeparator"/>
      </w:pPr>
    </w:p>
    <w:p w:rsidR="00526AFB" w:rsidRDefault="00526AFB"/>
  </w:footnote>
  <w:footnote w:type="continuationSeparator" w:id="0">
    <w:p w:rsidR="00526AFB" w:rsidRDefault="00526AFB" w:rsidP="008F5280">
      <w:pPr>
        <w:pStyle w:val="FootnoteSeparator"/>
      </w:pPr>
    </w:p>
    <w:p w:rsidR="00526AFB" w:rsidRDefault="00526AFB"/>
    <w:p w:rsidR="00526AFB" w:rsidRDefault="00526AFB"/>
  </w:footnote>
  <w:footnote w:type="continuationNotice" w:id="1">
    <w:p w:rsidR="00526AFB" w:rsidRDefault="00526AFB" w:rsidP="00D55628"/>
    <w:p w:rsidR="00526AFB" w:rsidRDefault="00526AFB"/>
    <w:p w:rsidR="00526AFB" w:rsidRDefault="00526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CA3DB8" w:rsidP="00920652">
          <w:pPr>
            <w:pStyle w:val="Header"/>
          </w:pPr>
          <w:r>
            <w:t>Position Description</w:t>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85888" behindDoc="1" locked="0" layoutInCell="1" allowOverlap="1" wp14:anchorId="6CE98C14" wp14:editId="56AFDC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3159" id="TriangleRight" o:spid="_x0000_s1026" style="position:absolute;margin-left:56.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A4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0768" behindDoc="1" locked="0" layoutInCell="1" allowOverlap="1" wp14:anchorId="33B71A04" wp14:editId="126DC80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0D46D" id="TriangleLeft" o:spid="_x0000_s1026" style="position:absolute;margin-left:22.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5648" behindDoc="1" locked="0" layoutInCell="1" allowOverlap="1" wp14:anchorId="189E527D" wp14:editId="0CCF388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E5140D" id="Rectangle" o:spid="_x0000_s1026" style="position:absolute;margin-left:22.7pt;margin-top:22.7pt;width:552.7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rsidTr="00674EEB">
      <w:trPr>
        <w:trHeight w:hRule="exact" w:val="1418"/>
      </w:trPr>
      <w:tc>
        <w:tcPr>
          <w:tcW w:w="7761" w:type="dxa"/>
          <w:vAlign w:val="center"/>
        </w:tcPr>
        <w:p w:rsidR="00250538" w:rsidRPr="00975ED3" w:rsidRDefault="009339C3" w:rsidP="00250538">
          <w:pPr>
            <w:pStyle w:val="Header"/>
          </w:pPr>
          <w:r>
            <w:t>Position Description</w:t>
          </w:r>
        </w:p>
      </w:tc>
    </w:tr>
  </w:tbl>
  <w:p w:rsidR="00250538" w:rsidRPr="00E97294" w:rsidRDefault="00250538" w:rsidP="00250538">
    <w:pPr>
      <w:pStyle w:val="Header"/>
    </w:pPr>
    <w:r w:rsidRPr="00806AB6">
      <w:rPr>
        <w:noProof/>
      </w:rPr>
      <mc:AlternateContent>
        <mc:Choice Requires="wps">
          <w:drawing>
            <wp:anchor distT="0" distB="0" distL="114300" distR="114300" simplePos="0" relativeHeight="251661824" behindDoc="1" locked="0" layoutInCell="1" allowOverlap="1" wp14:anchorId="04B7CECA" wp14:editId="1A84BCA7">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C3AC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71461F04" wp14:editId="2A20E02E">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ACD78"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A4504A0" wp14:editId="54CF45A4">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477C1"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0538" w:rsidRDefault="00250538" w:rsidP="00250538">
    <w:pPr>
      <w:pStyle w:val="Header"/>
    </w:pPr>
  </w:p>
  <w:p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9C05D0D" wp14:editId="23BE9B0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03E5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" path="m1339,1419l669,,,1419r1339,xe" fillcolor="#201547 [3205]"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624E5D8B" wp14:editId="73677CF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855EF"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64318636" wp14:editId="5AF6C3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7973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A216A" id="TriangleLeft" o:spid="_x0000_s1026" style="position:absolute;margin-left:22.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" path="m,l665,1419,1334,,,xe" fillcolor="#797391"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8784" behindDoc="1" locked="0" layoutInCell="1" allowOverlap="1" wp14:anchorId="47AE1F5C" wp14:editId="7DF5D87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4F0115" id="Rectangle" o:spid="_x0000_s1026" style="position:absolute;margin-left:22.7pt;margin-top:22.7pt;width:552.75pt;height:7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1ED996"/>
    <w:lvl w:ilvl="0">
      <w:numFmt w:val="bullet"/>
      <w:lvlText w:val="*"/>
      <w:lvlJc w:val="left"/>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E726909"/>
    <w:multiLevelType w:val="hybridMultilevel"/>
    <w:tmpl w:val="821279B8"/>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A75006"/>
    <w:multiLevelType w:val="hybridMultilevel"/>
    <w:tmpl w:val="572C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B2366F7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1641316"/>
    <w:multiLevelType w:val="hybridMultilevel"/>
    <w:tmpl w:val="CC30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9675F38"/>
    <w:multiLevelType w:val="hybridMultilevel"/>
    <w:tmpl w:val="7562A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2"/>
  </w:num>
  <w:num w:numId="3">
    <w:abstractNumId w:val="27"/>
  </w:num>
  <w:num w:numId="4">
    <w:abstractNumId w:val="36"/>
  </w:num>
  <w:num w:numId="5">
    <w:abstractNumId w:val="17"/>
  </w:num>
  <w:num w:numId="6">
    <w:abstractNumId w:val="14"/>
  </w:num>
  <w:num w:numId="7">
    <w:abstractNumId w:val="12"/>
  </w:num>
  <w:num w:numId="8">
    <w:abstractNumId w:val="11"/>
  </w:num>
  <w:num w:numId="9">
    <w:abstractNumId w:val="33"/>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1"/>
  </w:num>
  <w:num w:numId="30">
    <w:abstractNumId w:val="34"/>
  </w:num>
  <w:num w:numId="31">
    <w:abstractNumId w:val="8"/>
  </w:num>
  <w:num w:numId="32">
    <w:abstractNumId w:val="30"/>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 w:numId="44">
    <w:abstractNumId w:val="10"/>
    <w:lvlOverride w:ilvl="0">
      <w:lvl w:ilvl="0">
        <w:numFmt w:val="bullet"/>
        <w:lvlText w:val="•"/>
        <w:legacy w:legacy="1" w:legacySpace="0" w:legacyIndent="0"/>
        <w:lvlJc w:val="left"/>
        <w:rPr>
          <w:rFonts w:ascii="Helv" w:hAnsi="Helv" w:hint="default"/>
        </w:rPr>
      </w:lvl>
    </w:lvlOverride>
  </w:num>
  <w:num w:numId="45">
    <w:abstractNumId w:val="22"/>
  </w:num>
  <w:num w:numId="46">
    <w:abstractNumId w:val="31"/>
  </w:num>
  <w:num w:numId="4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1"/>
  </w:docVars>
  <w:rsids>
    <w:rsidRoot w:val="00CA3DB8"/>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176"/>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FC7"/>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0"/>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789"/>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87F"/>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C60"/>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AFB"/>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586"/>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3A0"/>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73"/>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410"/>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93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396"/>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3D86"/>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0BB"/>
    <w:rsid w:val="0093183F"/>
    <w:rsid w:val="00931850"/>
    <w:rsid w:val="0093220A"/>
    <w:rsid w:val="00932326"/>
    <w:rsid w:val="0093234A"/>
    <w:rsid w:val="009329EE"/>
    <w:rsid w:val="00932B0C"/>
    <w:rsid w:val="00932DED"/>
    <w:rsid w:val="009331EA"/>
    <w:rsid w:val="009336CF"/>
    <w:rsid w:val="00933732"/>
    <w:rsid w:val="009337C6"/>
    <w:rsid w:val="009339C3"/>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341"/>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F6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CE1"/>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75E"/>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14D"/>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E32"/>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5B"/>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6C0"/>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6A8"/>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DB8"/>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98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976"/>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ABF"/>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0834CF6"/>
  <w15:docId w15:val="{1F0DC0B8-3BF7-4EA1-A143-FA424D4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Indent">
    <w:name w:val="Body Text Indent"/>
    <w:basedOn w:val="Normal"/>
    <w:link w:val="BodyTextIndentChar"/>
    <w:semiHidden/>
    <w:rsid w:val="00CA3DB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CA3DB8"/>
    <w:rPr>
      <w:rFonts w:ascii="Calibri" w:hAnsi="Calibri" w:cs="Times New Roman"/>
      <w:color w:val="auto"/>
      <w:sz w:val="22"/>
      <w:szCs w:val="24"/>
      <w:lang w:eastAsia="en-US"/>
    </w:rPr>
  </w:style>
  <w:style w:type="paragraph" w:customStyle="1" w:styleId="DTPLIintrotext">
    <w:name w:val="DTPLI intro text"/>
    <w:basedOn w:val="Normal"/>
    <w:next w:val="DTPLIbodycopy"/>
    <w:qFormat/>
    <w:rsid w:val="00CA3DB8"/>
    <w:pPr>
      <w:spacing w:before="240" w:after="240" w:line="240" w:lineRule="auto"/>
      <w:ind w:right="-2"/>
    </w:pPr>
    <w:rPr>
      <w:rFonts w:ascii="Tahoma" w:hAnsi="Tahoma"/>
      <w:b/>
      <w:color w:val="797166"/>
      <w:sz w:val="24"/>
    </w:rPr>
  </w:style>
  <w:style w:type="paragraph" w:customStyle="1" w:styleId="DTPLIbodycopy">
    <w:name w:val="DTPLI body copy"/>
    <w:basedOn w:val="Normal"/>
    <w:qFormat/>
    <w:rsid w:val="00CA3DB8"/>
    <w:pPr>
      <w:spacing w:after="120" w:line="240" w:lineRule="auto"/>
      <w:ind w:right="-2"/>
    </w:pPr>
    <w:rPr>
      <w:rFonts w:ascii="Tahoma" w:hAnsi="Tahoma"/>
      <w:color w:val="auto"/>
      <w:sz w:val="18"/>
    </w:rPr>
  </w:style>
  <w:style w:type="paragraph" w:customStyle="1" w:styleId="DTPLIheadinggreen">
    <w:name w:val="DTPLI heading green"/>
    <w:basedOn w:val="Normal"/>
    <w:next w:val="DTPLIintrotext"/>
    <w:qFormat/>
    <w:rsid w:val="00CA3DB8"/>
    <w:pPr>
      <w:keepNext/>
      <w:spacing w:before="480" w:after="120" w:line="240" w:lineRule="auto"/>
      <w:ind w:right="-2"/>
    </w:pPr>
    <w:rPr>
      <w:rFonts w:ascii="Tahoma" w:hAnsi="Tahoma"/>
      <w:color w:val="57A84C"/>
      <w:sz w:val="30"/>
    </w:rPr>
  </w:style>
  <w:style w:type="paragraph" w:customStyle="1" w:styleId="DTPLIheadingtopcolumngreen">
    <w:name w:val="DTPLI heading top column green"/>
    <w:basedOn w:val="Normal"/>
    <w:qFormat/>
    <w:rsid w:val="00CA3DB8"/>
    <w:pPr>
      <w:keepNext/>
      <w:spacing w:after="120" w:line="240" w:lineRule="auto"/>
    </w:pPr>
    <w:rPr>
      <w:rFonts w:ascii="Verdana" w:hAnsi="Verdana" w:cs="Times New Roman"/>
      <w:color w:val="57A84C"/>
      <w:sz w:val="30"/>
    </w:rPr>
  </w:style>
  <w:style w:type="paragraph" w:customStyle="1" w:styleId="Instructions">
    <w:name w:val="Instructions"/>
    <w:locked/>
    <w:rsid w:val="00CA3DB8"/>
    <w:pPr>
      <w:spacing w:before="240" w:after="160"/>
    </w:pPr>
    <w:rPr>
      <w:rFonts w:ascii="Verdana" w:hAnsi="Verdana" w:cs="Times New Roman"/>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A652-88CE-4289-B0AC-DC02479A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8</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Parker</dc:creator>
  <cp:lastModifiedBy>Soph Wassell (DELWP)</cp:lastModifiedBy>
  <cp:revision>3</cp:revision>
  <cp:lastPrinted>2017-02-14T02:23:00Z</cp:lastPrinted>
  <dcterms:created xsi:type="dcterms:W3CDTF">2018-06-07T22:41:00Z</dcterms:created>
  <dcterms:modified xsi:type="dcterms:W3CDTF">2018-06-20T04:55:00Z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