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8A" w:rsidRPr="00A40A8A" w:rsidRDefault="00A40A8A" w:rsidP="00A40A8A">
      <w:pPr>
        <w:spacing w:after="0" w:line="240" w:lineRule="auto"/>
        <w:rPr>
          <w:rFonts w:ascii="Calibri" w:eastAsia="Times New Roman" w:hAnsi="Calibri" w:cs="Times New Roman"/>
          <w:b/>
          <w:bCs/>
          <w:lang w:val="en-US"/>
        </w:rPr>
      </w:pPr>
      <w:bookmarkStart w:id="0" w:name="_GoBack"/>
      <w:bookmarkEnd w:id="0"/>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460"/>
      </w:tblGrid>
      <w:tr w:rsidR="00A40A8A" w:rsidRPr="00A40A8A" w:rsidTr="00456591">
        <w:trPr>
          <w:cantSplit/>
          <w:trHeight w:val="1485"/>
        </w:trPr>
        <w:tc>
          <w:tcPr>
            <w:tcW w:w="1458" w:type="dxa"/>
            <w:shd w:val="clear" w:color="auto" w:fill="FFFFFF"/>
            <w:vAlign w:val="center"/>
          </w:tcPr>
          <w:p w:rsidR="00A40A8A" w:rsidRPr="00A40A8A" w:rsidRDefault="00A40A8A" w:rsidP="00A40A8A">
            <w:pPr>
              <w:widowControl w:val="0"/>
              <w:overflowPunct w:val="0"/>
              <w:autoSpaceDE w:val="0"/>
              <w:autoSpaceDN w:val="0"/>
              <w:adjustRightInd w:val="0"/>
              <w:spacing w:after="0" w:line="240" w:lineRule="auto"/>
              <w:jc w:val="center"/>
              <w:textAlignment w:val="baseline"/>
              <w:rPr>
                <w:rFonts w:ascii="Calibri" w:eastAsia="Times New Roman" w:hAnsi="Calibri" w:cs="Times New Roman"/>
                <w:b/>
                <w:color w:val="FF0000"/>
              </w:rPr>
            </w:pPr>
            <w:r w:rsidRPr="00A40A8A">
              <w:rPr>
                <w:rFonts w:ascii="Calibri" w:eastAsia="Times New Roman" w:hAnsi="Calibri" w:cs="Times New Roman"/>
                <w:noProof/>
                <w:lang w:val="en-US"/>
              </w:rPr>
              <w:drawing>
                <wp:inline distT="0" distB="0" distL="0" distR="0">
                  <wp:extent cx="847725" cy="981075"/>
                  <wp:effectExtent l="0" t="0" r="9525" b="9525"/>
                  <wp:docPr id="5" name="Picture 5"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8460" w:type="dxa"/>
            <w:shd w:val="clear" w:color="auto" w:fill="FFFFFF"/>
          </w:tcPr>
          <w:p w:rsidR="00511F7E" w:rsidRDefault="00511F7E" w:rsidP="00511F7E">
            <w:pPr>
              <w:rPr>
                <w:b/>
              </w:rPr>
            </w:pPr>
          </w:p>
          <w:p w:rsidR="00511F7E" w:rsidRDefault="00511F7E" w:rsidP="00511F7E">
            <w:pPr>
              <w:jc w:val="center"/>
              <w:rPr>
                <w:b/>
              </w:rPr>
            </w:pPr>
            <w:r>
              <w:rPr>
                <w:b/>
              </w:rPr>
              <w:t>UNITED NATIONS CHILDREN’S FUND</w:t>
            </w:r>
          </w:p>
          <w:p w:rsidR="00511F7E" w:rsidRDefault="00511F7E" w:rsidP="00511F7E">
            <w:pPr>
              <w:jc w:val="center"/>
              <w:rPr>
                <w:b/>
              </w:rPr>
            </w:pPr>
            <w:r>
              <w:rPr>
                <w:b/>
              </w:rPr>
              <w:t>Terms of Reference for WASH Officer (NOB)</w:t>
            </w:r>
          </w:p>
          <w:p w:rsidR="00511F7E" w:rsidRDefault="00511F7E" w:rsidP="00511F7E">
            <w:pPr>
              <w:jc w:val="center"/>
              <w:rPr>
                <w:b/>
              </w:rPr>
            </w:pPr>
            <w:r>
              <w:rPr>
                <w:b/>
              </w:rPr>
              <w:t xml:space="preserve">Temporary Appointment, Based in </w:t>
            </w:r>
            <w:proofErr w:type="spellStart"/>
            <w:r>
              <w:rPr>
                <w:b/>
              </w:rPr>
              <w:t>Sittwe</w:t>
            </w:r>
            <w:proofErr w:type="spellEnd"/>
            <w:r w:rsidR="00C72279">
              <w:rPr>
                <w:b/>
              </w:rPr>
              <w:t xml:space="preserve">/ </w:t>
            </w:r>
            <w:proofErr w:type="spellStart"/>
            <w:r w:rsidR="00C72279">
              <w:rPr>
                <w:b/>
              </w:rPr>
              <w:t>Myitkyina</w:t>
            </w:r>
            <w:proofErr w:type="spellEnd"/>
          </w:p>
          <w:p w:rsidR="00A40A8A" w:rsidRPr="00A40A8A" w:rsidRDefault="00A40A8A" w:rsidP="003263CA">
            <w:pPr>
              <w:widowControl w:val="0"/>
              <w:overflowPunct w:val="0"/>
              <w:autoSpaceDE w:val="0"/>
              <w:autoSpaceDN w:val="0"/>
              <w:adjustRightInd w:val="0"/>
              <w:spacing w:after="0" w:line="240" w:lineRule="auto"/>
              <w:jc w:val="center"/>
              <w:textAlignment w:val="baseline"/>
              <w:rPr>
                <w:rFonts w:ascii="Calibri" w:eastAsia="Times New Roman" w:hAnsi="Calibri" w:cs="Times New Roman"/>
              </w:rPr>
            </w:pPr>
          </w:p>
        </w:tc>
      </w:tr>
    </w:tbl>
    <w:p w:rsidR="00A40A8A" w:rsidRPr="00A40A8A" w:rsidRDefault="00A40A8A" w:rsidP="00A40A8A">
      <w:pPr>
        <w:spacing w:after="0" w:line="240" w:lineRule="auto"/>
        <w:rPr>
          <w:rFonts w:ascii="Calibri" w:eastAsia="Times New Roman" w:hAnsi="Calibri" w:cs="Times New Roman"/>
          <w:b/>
          <w:bCs/>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130"/>
      </w:tblGrid>
      <w:tr w:rsidR="00A40A8A" w:rsidRPr="00A40A8A" w:rsidTr="00456591">
        <w:tc>
          <w:tcPr>
            <w:tcW w:w="9918" w:type="dxa"/>
            <w:gridSpan w:val="2"/>
            <w:shd w:val="clear" w:color="auto" w:fill="E0E0E0"/>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bCs/>
                <w:sz w:val="28"/>
                <w:szCs w:val="28"/>
              </w:rPr>
            </w:pPr>
            <w:r w:rsidRPr="00A40A8A">
              <w:rPr>
                <w:rFonts w:ascii="Calibri" w:eastAsia="Times New Roman" w:hAnsi="Calibri" w:cs="Times New Roman"/>
                <w:b/>
                <w:bCs/>
                <w:sz w:val="28"/>
                <w:szCs w:val="28"/>
              </w:rPr>
              <w:t>I. Post Information</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bCs/>
              </w:rPr>
            </w:pPr>
          </w:p>
        </w:tc>
      </w:tr>
      <w:tr w:rsidR="00A40A8A" w:rsidRPr="00A40A8A" w:rsidTr="00456591">
        <w:tc>
          <w:tcPr>
            <w:tcW w:w="4788" w:type="dxa"/>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rPr>
              <w:t xml:space="preserve">Job Title: </w:t>
            </w:r>
            <w:r w:rsidRPr="00A40A8A">
              <w:rPr>
                <w:rFonts w:ascii="Calibri" w:eastAsia="Times New Roman" w:hAnsi="Calibri" w:cs="Times New Roman"/>
                <w:b/>
              </w:rPr>
              <w:t>WASH Officer, NOB</w:t>
            </w:r>
            <w:r>
              <w:rPr>
                <w:rFonts w:ascii="Calibri" w:eastAsia="Times New Roman" w:hAnsi="Calibri" w:cs="Times New Roman"/>
                <w:b/>
              </w:rPr>
              <w:t xml:space="preserve"> </w:t>
            </w:r>
          </w:p>
          <w:p w:rsidR="00511F7E"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rPr>
              <w:t xml:space="preserve">Supervisor Title/ Level: </w:t>
            </w:r>
            <w:r w:rsidR="00511F7E">
              <w:rPr>
                <w:rFonts w:ascii="Calibri" w:eastAsia="Times New Roman" w:hAnsi="Calibri" w:cs="Times New Roman"/>
                <w:b/>
              </w:rPr>
              <w:t>WASH Specialist</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rPr>
              <w:t xml:space="preserve">Organizational Unit: </w:t>
            </w:r>
            <w:r w:rsidRPr="00A40A8A">
              <w:rPr>
                <w:rFonts w:ascii="Calibri" w:eastAsia="Times New Roman" w:hAnsi="Calibri" w:cs="Times New Roman"/>
                <w:b/>
              </w:rPr>
              <w:t>WASH</w:t>
            </w:r>
          </w:p>
          <w:p w:rsidR="00A40A8A" w:rsidRPr="00A40A8A" w:rsidRDefault="00A40A8A" w:rsidP="00057B87">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 xml:space="preserve">Post Location: </w:t>
            </w:r>
            <w:proofErr w:type="spellStart"/>
            <w:r w:rsidR="00057B87">
              <w:rPr>
                <w:rFonts w:ascii="Calibri" w:eastAsia="Times New Roman" w:hAnsi="Calibri" w:cs="Times New Roman"/>
                <w:b/>
              </w:rPr>
              <w:t>Sittwe</w:t>
            </w:r>
            <w:proofErr w:type="spellEnd"/>
            <w:r w:rsidR="00F344DE">
              <w:rPr>
                <w:rFonts w:ascii="Calibri" w:eastAsia="Times New Roman" w:hAnsi="Calibri" w:cs="Times New Roman"/>
                <w:b/>
              </w:rPr>
              <w:t>/</w:t>
            </w:r>
            <w:proofErr w:type="spellStart"/>
            <w:r w:rsidR="00F344DE">
              <w:rPr>
                <w:rFonts w:ascii="Calibri" w:eastAsia="Times New Roman" w:hAnsi="Calibri" w:cs="Times New Roman"/>
                <w:b/>
              </w:rPr>
              <w:t>Myitkyina</w:t>
            </w:r>
            <w:proofErr w:type="spellEnd"/>
            <w:r w:rsidRPr="00A40A8A">
              <w:rPr>
                <w:rFonts w:ascii="Calibri" w:eastAsia="Times New Roman" w:hAnsi="Calibri" w:cs="Times New Roman"/>
                <w:b/>
              </w:rPr>
              <w:t xml:space="preserve"> Field Office</w:t>
            </w:r>
            <w:r w:rsidR="00511F7E">
              <w:rPr>
                <w:rFonts w:ascii="Calibri" w:eastAsia="Times New Roman" w:hAnsi="Calibri" w:cs="Times New Roman"/>
                <w:b/>
              </w:rPr>
              <w:t>, Myanmar</w:t>
            </w:r>
          </w:p>
        </w:tc>
        <w:tc>
          <w:tcPr>
            <w:tcW w:w="5130" w:type="dxa"/>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rPr>
              <w:t xml:space="preserve">Job Level: </w:t>
            </w:r>
            <w:r w:rsidRPr="00A40A8A">
              <w:rPr>
                <w:rFonts w:ascii="Calibri" w:eastAsia="Times New Roman" w:hAnsi="Calibri" w:cs="Times New Roman"/>
                <w:b/>
              </w:rPr>
              <w:t>Level 2</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 xml:space="preserve">Job Profile No.: </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CCOG Code:</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Functional Code:</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Job Classification Level:</w:t>
            </w:r>
          </w:p>
        </w:tc>
      </w:tr>
      <w:tr w:rsidR="00A40A8A" w:rsidRPr="00A40A8A" w:rsidTr="00456591">
        <w:tblPrEx>
          <w:shd w:val="clear" w:color="auto" w:fill="E0E0E0"/>
        </w:tblPrEx>
        <w:tc>
          <w:tcPr>
            <w:tcW w:w="9918" w:type="dxa"/>
            <w:gridSpan w:val="2"/>
            <w:tcBorders>
              <w:bottom w:val="single" w:sz="4" w:space="0" w:color="auto"/>
            </w:tcBorders>
            <w:shd w:val="clear" w:color="auto" w:fill="E0E0E0"/>
          </w:tcPr>
          <w:p w:rsidR="00A40A8A" w:rsidRPr="00A40A8A" w:rsidRDefault="00A40A8A" w:rsidP="00A40A8A">
            <w:pPr>
              <w:widowControl w:val="0"/>
              <w:pBdr>
                <w:top w:val="single" w:sz="18" w:space="1" w:color="auto"/>
                <w:left w:val="single" w:sz="18" w:space="4" w:color="auto"/>
                <w:bottom w:val="single" w:sz="18" w:space="1" w:color="auto"/>
                <w:right w:val="single" w:sz="18" w:space="4" w:color="auto"/>
              </w:pBdr>
              <w:overflowPunct w:val="0"/>
              <w:autoSpaceDE w:val="0"/>
              <w:autoSpaceDN w:val="0"/>
              <w:adjustRightInd w:val="0"/>
              <w:spacing w:after="0" w:line="240" w:lineRule="auto"/>
              <w:textAlignment w:val="baseline"/>
              <w:rPr>
                <w:rFonts w:ascii="Calibri" w:eastAsia="Times New Roman" w:hAnsi="Calibri" w:cs="Times New Roman"/>
                <w:b/>
                <w:sz w:val="28"/>
                <w:szCs w:val="28"/>
              </w:rPr>
            </w:pPr>
          </w:p>
          <w:p w:rsidR="00A40A8A" w:rsidRPr="00A40A8A" w:rsidRDefault="00A40A8A" w:rsidP="00A40A8A">
            <w:pPr>
              <w:widowControl w:val="0"/>
              <w:pBdr>
                <w:top w:val="single" w:sz="18" w:space="1" w:color="auto"/>
                <w:left w:val="single" w:sz="18" w:space="4" w:color="auto"/>
                <w:bottom w:val="single" w:sz="18" w:space="1" w:color="auto"/>
                <w:right w:val="single" w:sz="18" w:space="4" w:color="auto"/>
              </w:pBdr>
              <w:overflowPunct w:val="0"/>
              <w:autoSpaceDE w:val="0"/>
              <w:autoSpaceDN w:val="0"/>
              <w:adjustRightInd w:val="0"/>
              <w:spacing w:after="0" w:line="240" w:lineRule="auto"/>
              <w:textAlignment w:val="baseline"/>
              <w:rPr>
                <w:rFonts w:ascii="Calibri" w:eastAsia="Times New Roman" w:hAnsi="Calibri" w:cs="Times New Roman"/>
                <w:b/>
                <w:sz w:val="28"/>
                <w:szCs w:val="28"/>
              </w:rPr>
            </w:pPr>
            <w:r w:rsidRPr="00A40A8A">
              <w:rPr>
                <w:rFonts w:ascii="Calibri" w:eastAsia="Times New Roman" w:hAnsi="Calibri" w:cs="Times New Roman"/>
                <w:b/>
                <w:sz w:val="28"/>
                <w:szCs w:val="28"/>
              </w:rPr>
              <w:t>II. Organizational Context and Purpose for the job</w:t>
            </w:r>
          </w:p>
          <w:p w:rsidR="00A40A8A" w:rsidRPr="00A40A8A" w:rsidRDefault="00A40A8A" w:rsidP="00A40A8A">
            <w:pPr>
              <w:widowControl w:val="0"/>
              <w:pBdr>
                <w:top w:val="single" w:sz="18" w:space="1" w:color="auto"/>
                <w:left w:val="single" w:sz="18" w:space="4" w:color="auto"/>
                <w:bottom w:val="single" w:sz="18" w:space="1" w:color="auto"/>
                <w:right w:val="single" w:sz="18" w:space="4" w:color="auto"/>
              </w:pBdr>
              <w:overflowPunct w:val="0"/>
              <w:autoSpaceDE w:val="0"/>
              <w:autoSpaceDN w:val="0"/>
              <w:adjustRightInd w:val="0"/>
              <w:spacing w:after="0" w:line="240" w:lineRule="auto"/>
              <w:textAlignment w:val="baseline"/>
              <w:rPr>
                <w:rFonts w:ascii="Calibri" w:eastAsia="Times New Roman" w:hAnsi="Calibri" w:cs="Times New Roman"/>
                <w:b/>
                <w:sz w:val="28"/>
                <w:szCs w:val="28"/>
              </w:rPr>
            </w:pPr>
          </w:p>
        </w:tc>
      </w:tr>
      <w:tr w:rsidR="00A40A8A" w:rsidRPr="00A40A8A" w:rsidTr="00456591">
        <w:tblPrEx>
          <w:shd w:val="clear" w:color="auto" w:fill="E0E0E0"/>
        </w:tblPrEx>
        <w:tc>
          <w:tcPr>
            <w:tcW w:w="9918" w:type="dxa"/>
            <w:gridSpan w:val="2"/>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rPr>
            </w:pPr>
            <w:r w:rsidRPr="00A40A8A">
              <w:rPr>
                <w:rFonts w:ascii="Calibri" w:eastAsia="Times New Roman" w:hAnsi="Calibri" w:cs="Cambria"/>
                <w:bCs/>
              </w:rPr>
              <w:t xml:space="preserve">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w:t>
            </w:r>
            <w:proofErr w:type="spellStart"/>
            <w:r w:rsidRPr="00A40A8A">
              <w:rPr>
                <w:rFonts w:ascii="Calibri" w:eastAsia="Times New Roman" w:hAnsi="Calibri" w:cs="Cambria"/>
                <w:bCs/>
              </w:rPr>
              <w:t>favoritism</w:t>
            </w:r>
            <w:proofErr w:type="spellEnd"/>
            <w:r w:rsidRPr="00A40A8A">
              <w:rPr>
                <w:rFonts w:ascii="Calibri" w:eastAsia="Times New Roman" w:hAnsi="Calibri" w:cs="Cambria"/>
                <w:bCs/>
              </w:rPr>
              <w:t>. To the degree that any child has an unequal chance in life — in its social, political,</w:t>
            </w:r>
            <w:r w:rsidRPr="00A40A8A">
              <w:rPr>
                <w:rFonts w:ascii="Calibri" w:eastAsia="Times New Roman" w:hAnsi="Calibri" w:cs="Times New Roman"/>
              </w:rPr>
              <w:t xml:space="preserve"> </w:t>
            </w:r>
            <w:r w:rsidRPr="00A40A8A">
              <w:rPr>
                <w:rFonts w:ascii="Calibri" w:eastAsia="Times New Roman" w:hAnsi="Calibri" w:cs="Cambria"/>
                <w:bCs/>
              </w:rPr>
              <w:t xml:space="preserve">economic, civic and cultural dimensions — her or his rights are violated. There is growing evidence that investing in the health, education and protection of a society’s most disadvantaged citizens — addressing inequity — not only will give more children the opportunity to </w:t>
            </w:r>
            <w:proofErr w:type="spellStart"/>
            <w:r w:rsidRPr="00A40A8A">
              <w:rPr>
                <w:rFonts w:ascii="Calibri" w:eastAsia="Times New Roman" w:hAnsi="Calibri" w:cs="Cambria"/>
                <w:bCs/>
              </w:rPr>
              <w:t>fulfill</w:t>
            </w:r>
            <w:proofErr w:type="spellEnd"/>
            <w:r w:rsidRPr="00A40A8A">
              <w:rPr>
                <w:rFonts w:ascii="Calibri" w:eastAsia="Times New Roman" w:hAnsi="Calibri" w:cs="Cambria"/>
                <w:bCs/>
              </w:rPr>
              <w:t xml:space="preserve">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A40A8A">
              <w:rPr>
                <w:rFonts w:ascii="Calibri" w:eastAsia="Times New Roman" w:hAnsi="Calibri" w:cs="Arial"/>
              </w:rPr>
              <w:t>.</w:t>
            </w:r>
          </w:p>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color w:val="FF0000"/>
              </w:rPr>
            </w:pPr>
          </w:p>
          <w:p w:rsidR="00A40A8A" w:rsidRPr="00A40A8A" w:rsidRDefault="00A40A8A" w:rsidP="00BE4BA3">
            <w:pPr>
              <w:widowControl w:val="0"/>
              <w:overflowPunct w:val="0"/>
              <w:autoSpaceDE w:val="0"/>
              <w:autoSpaceDN w:val="0"/>
              <w:adjustRightInd w:val="0"/>
              <w:spacing w:after="0" w:line="240" w:lineRule="auto"/>
              <w:jc w:val="both"/>
              <w:textAlignment w:val="baseline"/>
              <w:rPr>
                <w:rFonts w:ascii="Calibri" w:eastAsia="Times New Roman" w:hAnsi="Calibri" w:cs="Times New Roman"/>
              </w:rPr>
            </w:pPr>
            <w:r w:rsidRPr="00A40A8A">
              <w:rPr>
                <w:rFonts w:ascii="Calibri" w:eastAsia="Times New Roman" w:hAnsi="Calibri" w:cs="Times New Roman"/>
                <w:b/>
                <w:u w:val="single"/>
              </w:rPr>
              <w:t>Purpose of the job:</w:t>
            </w:r>
            <w:r w:rsidRPr="00A40A8A">
              <w:rPr>
                <w:rFonts w:ascii="Calibri" w:eastAsia="Times New Roman" w:hAnsi="Calibri" w:cs="Times New Roman"/>
              </w:rPr>
              <w:t xml:space="preserve"> </w:t>
            </w:r>
            <w:r w:rsidRPr="00BE4BA3">
              <w:rPr>
                <w:rFonts w:ascii="Calibri" w:eastAsia="Times New Roman" w:hAnsi="Calibri" w:cs="Cambria"/>
                <w:bCs/>
              </w:rPr>
              <w:t xml:space="preserve">Under the direct supervision of WASH Specialist and technical guidance from WASH section in Yangon Office, the WASH officer is accountable for professional/technical contribution to programme/project design, planning, administration, monitoring and evaluation of WASH programme/project activities in support of achievement country programme outcome and output results in </w:t>
            </w:r>
            <w:r w:rsidR="00C72279">
              <w:rPr>
                <w:rFonts w:ascii="Calibri" w:eastAsia="Times New Roman" w:hAnsi="Calibri" w:cs="Cambria"/>
                <w:bCs/>
              </w:rPr>
              <w:t>assigned duty station.</w:t>
            </w:r>
            <w:r w:rsidRPr="00BE4BA3">
              <w:rPr>
                <w:rFonts w:ascii="Calibri" w:eastAsia="Times New Roman" w:hAnsi="Calibri" w:cs="Cambria"/>
                <w:bCs/>
              </w:rPr>
              <w:t xml:space="preserve"> </w:t>
            </w:r>
          </w:p>
        </w:tc>
      </w:tr>
    </w:tbl>
    <w:p w:rsid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057B87" w:rsidRDefault="00057B87"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057B87" w:rsidRDefault="00057B87"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511F7E" w:rsidRDefault="00511F7E"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057B87" w:rsidRPr="00A40A8A" w:rsidRDefault="00057B87"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89"/>
        <w:gridCol w:w="1539"/>
        <w:gridCol w:w="2610"/>
        <w:gridCol w:w="2880"/>
      </w:tblGrid>
      <w:tr w:rsidR="00A40A8A" w:rsidRPr="00A40A8A" w:rsidTr="00456591">
        <w:tc>
          <w:tcPr>
            <w:tcW w:w="9918" w:type="dxa"/>
            <w:gridSpan w:val="4"/>
            <w:shd w:val="clear" w:color="auto" w:fill="E0E0E0"/>
          </w:tcPr>
          <w:p w:rsidR="00A40A8A" w:rsidRPr="00A40A8A" w:rsidRDefault="00A40A8A" w:rsidP="00A40A8A">
            <w:pPr>
              <w:widowControl w:val="0"/>
              <w:pBdr>
                <w:top w:val="single" w:sz="18" w:space="1" w:color="auto"/>
                <w:left w:val="single" w:sz="18" w:space="4" w:color="auto"/>
                <w:bottom w:val="single" w:sz="18" w:space="1" w:color="auto"/>
                <w:right w:val="single" w:sz="18" w:space="4" w:color="auto"/>
              </w:pBdr>
              <w:overflowPunct w:val="0"/>
              <w:autoSpaceDE w:val="0"/>
              <w:autoSpaceDN w:val="0"/>
              <w:adjustRightInd w:val="0"/>
              <w:spacing w:after="0" w:line="240" w:lineRule="auto"/>
              <w:textAlignment w:val="baseline"/>
              <w:rPr>
                <w:rFonts w:ascii="Calibri" w:eastAsia="Times New Roman" w:hAnsi="Calibri" w:cs="Times New Roman"/>
                <w:b/>
                <w:sz w:val="28"/>
                <w:szCs w:val="28"/>
              </w:rPr>
            </w:pPr>
            <w:r w:rsidRPr="00A40A8A">
              <w:rPr>
                <w:rFonts w:ascii="Calibri" w:eastAsia="Times New Roman" w:hAnsi="Calibri" w:cs="Times New Roman"/>
                <w:b/>
                <w:sz w:val="28"/>
                <w:szCs w:val="28"/>
              </w:rPr>
              <w:t xml:space="preserve">III. Key function, accountabilities and related duties/tasks </w:t>
            </w:r>
          </w:p>
          <w:p w:rsidR="00A40A8A" w:rsidRPr="00A40A8A" w:rsidRDefault="00A40A8A" w:rsidP="00A40A8A">
            <w:pPr>
              <w:widowControl w:val="0"/>
              <w:pBdr>
                <w:top w:val="single" w:sz="18" w:space="1" w:color="auto"/>
                <w:left w:val="single" w:sz="18" w:space="4" w:color="auto"/>
                <w:bottom w:val="single" w:sz="18" w:space="1" w:color="auto"/>
                <w:right w:val="single" w:sz="18" w:space="4" w:color="auto"/>
              </w:pBdr>
              <w:overflowPunct w:val="0"/>
              <w:autoSpaceDE w:val="0"/>
              <w:autoSpaceDN w:val="0"/>
              <w:adjustRightInd w:val="0"/>
              <w:spacing w:after="0" w:line="240" w:lineRule="auto"/>
              <w:textAlignment w:val="baseline"/>
              <w:rPr>
                <w:rFonts w:ascii="Calibri" w:eastAsia="Times New Roman" w:hAnsi="Calibri" w:cs="Times New Roman"/>
                <w:b/>
                <w:sz w:val="28"/>
                <w:szCs w:val="28"/>
              </w:rPr>
            </w:pPr>
          </w:p>
        </w:tc>
      </w:tr>
      <w:tr w:rsidR="00A40A8A" w:rsidRPr="00A40A8A" w:rsidTr="00456591">
        <w:tc>
          <w:tcPr>
            <w:tcW w:w="9918" w:type="dxa"/>
            <w:gridSpan w:val="4"/>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b/>
              </w:rPr>
              <w:t xml:space="preserve">Summary of key functions/accountabilities: </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rPr>
            </w:pPr>
          </w:p>
          <w:p w:rsidR="00A40A8A" w:rsidRPr="00A40A8A" w:rsidRDefault="00A40A8A" w:rsidP="00A40A8A">
            <w:pPr>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b/>
              </w:rPr>
              <w:t>Programme development and planning</w:t>
            </w:r>
          </w:p>
          <w:p w:rsidR="00A40A8A" w:rsidRPr="00A40A8A" w:rsidRDefault="00A40A8A" w:rsidP="00A40A8A">
            <w:pPr>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b/>
              </w:rPr>
              <w:t>Programme management, monitoring and delivery of results</w:t>
            </w:r>
          </w:p>
          <w:p w:rsidR="00A40A8A" w:rsidRPr="00A40A8A" w:rsidRDefault="00A40A8A" w:rsidP="00A40A8A">
            <w:pPr>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b/>
              </w:rPr>
              <w:t>Technical and operational support for programme implementation</w:t>
            </w:r>
          </w:p>
          <w:p w:rsidR="00A40A8A" w:rsidRPr="00A40A8A" w:rsidRDefault="00A40A8A" w:rsidP="00A40A8A">
            <w:pPr>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b/>
              </w:rPr>
              <w:t>Humanitarian WASH preparedness and response</w:t>
            </w:r>
          </w:p>
          <w:p w:rsidR="00A40A8A" w:rsidRPr="00A40A8A" w:rsidRDefault="00A40A8A" w:rsidP="00A40A8A">
            <w:pPr>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b/>
              </w:rPr>
              <w:t>Networking and partnership building</w:t>
            </w:r>
          </w:p>
          <w:p w:rsidR="00A40A8A" w:rsidRPr="00A40A8A" w:rsidRDefault="00A40A8A" w:rsidP="00A40A8A">
            <w:pPr>
              <w:widowControl w:val="0"/>
              <w:numPr>
                <w:ilvl w:val="0"/>
                <w:numId w:val="2"/>
              </w:numPr>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b/>
              </w:rPr>
              <w:t>Innovation, knowledge management and capacity building</w:t>
            </w:r>
          </w:p>
          <w:p w:rsidR="00A40A8A" w:rsidRPr="00A40A8A" w:rsidRDefault="00A40A8A" w:rsidP="00A40A8A">
            <w:pPr>
              <w:widowControl w:val="0"/>
              <w:overflowPunct w:val="0"/>
              <w:autoSpaceDE w:val="0"/>
              <w:autoSpaceDN w:val="0"/>
              <w:adjustRightInd w:val="0"/>
              <w:spacing w:after="0" w:line="240" w:lineRule="auto"/>
              <w:ind w:left="360"/>
              <w:textAlignment w:val="baseline"/>
              <w:rPr>
                <w:rFonts w:ascii="Calibri" w:eastAsia="Times New Roman" w:hAnsi="Calibri" w:cs="Times New Roman"/>
                <w:b/>
              </w:rPr>
            </w:pPr>
          </w:p>
        </w:tc>
      </w:tr>
      <w:tr w:rsidR="00A40A8A" w:rsidRPr="00A40A8A" w:rsidTr="00456591">
        <w:tc>
          <w:tcPr>
            <w:tcW w:w="9918" w:type="dxa"/>
            <w:gridSpan w:val="4"/>
          </w:tcPr>
          <w:p w:rsidR="00A40A8A" w:rsidRPr="00A40A8A" w:rsidRDefault="00A40A8A" w:rsidP="00A40A8A">
            <w:pPr>
              <w:widowControl w:val="0"/>
              <w:numPr>
                <w:ilvl w:val="0"/>
                <w:numId w:val="4"/>
              </w:numPr>
              <w:overflowPunct w:val="0"/>
              <w:autoSpaceDE w:val="0"/>
              <w:autoSpaceDN w:val="0"/>
              <w:adjustRightInd w:val="0"/>
              <w:spacing w:before="120" w:after="120" w:line="240" w:lineRule="auto"/>
              <w:contextualSpacing/>
              <w:jc w:val="both"/>
              <w:textAlignment w:val="baseline"/>
              <w:rPr>
                <w:rFonts w:ascii="Calibri" w:eastAsia="MS Mincho" w:hAnsi="Calibri" w:cs="Arial"/>
                <w:b/>
                <w:lang w:eastAsia="ja-JP"/>
              </w:rPr>
            </w:pPr>
            <w:r w:rsidRPr="00A40A8A">
              <w:rPr>
                <w:rFonts w:ascii="Calibri" w:eastAsia="MS Mincho" w:hAnsi="Calibri" w:cs="Arial"/>
                <w:b/>
                <w:lang w:eastAsia="ja-JP"/>
              </w:rPr>
              <w:t>Programme development and planning</w:t>
            </w:r>
          </w:p>
          <w:p w:rsidR="00A40A8A" w:rsidRPr="00A40A8A" w:rsidRDefault="00A40A8A" w:rsidP="00A40A8A">
            <w:pPr>
              <w:widowControl w:val="0"/>
              <w:numPr>
                <w:ilvl w:val="0"/>
                <w:numId w:val="12"/>
              </w:numPr>
              <w:overflowPunct w:val="0"/>
              <w:autoSpaceDE w:val="0"/>
              <w:autoSpaceDN w:val="0"/>
              <w:adjustRightInd w:val="0"/>
              <w:spacing w:after="0" w:line="240" w:lineRule="auto"/>
              <w:contextualSpacing/>
              <w:jc w:val="both"/>
              <w:textAlignment w:val="baseline"/>
              <w:rPr>
                <w:rFonts w:ascii="Calibri" w:eastAsia="Times New Roman" w:hAnsi="Calibri" w:cs="Times New Roman"/>
              </w:rPr>
            </w:pPr>
            <w:r w:rsidRPr="00A40A8A">
              <w:rPr>
                <w:rFonts w:ascii="Calibri" w:eastAsia="Times New Roman" w:hAnsi="Calibri" w:cs="Arial"/>
              </w:rPr>
              <w:t xml:space="preserve">Draft updates for WASH in the situation analysis, to inform the development of WASH-related outcome and output results. Report on trends in WASH, for use in programme development, management, monitoring, and evaluation.  </w:t>
            </w:r>
          </w:p>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rPr>
            </w:pPr>
          </w:p>
          <w:p w:rsidR="00A40A8A" w:rsidRPr="00A40A8A" w:rsidRDefault="00A40A8A" w:rsidP="00A40A8A">
            <w:pPr>
              <w:widowControl w:val="0"/>
              <w:numPr>
                <w:ilvl w:val="0"/>
                <w:numId w:val="12"/>
              </w:numPr>
              <w:overflowPunct w:val="0"/>
              <w:autoSpaceDE w:val="0"/>
              <w:autoSpaceDN w:val="0"/>
              <w:adjustRightInd w:val="0"/>
              <w:spacing w:after="0" w:line="240" w:lineRule="auto"/>
              <w:contextualSpacing/>
              <w:textAlignment w:val="baseline"/>
              <w:rPr>
                <w:rFonts w:ascii="Calibri" w:eastAsia="Times New Roman" w:hAnsi="Calibri" w:cs="Times New Roman"/>
              </w:rPr>
            </w:pPr>
            <w:r w:rsidRPr="00A40A8A">
              <w:rPr>
                <w:rFonts w:ascii="Calibri" w:eastAsia="Times New Roman" w:hAnsi="Calibri" w:cs="Times New Roman"/>
              </w:rPr>
              <w:t>Prepare technical reports and inputs for programme preparation and documentation, ensuring accuracy, timeliness and relevance of information.</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numPr>
                <w:ilvl w:val="0"/>
                <w:numId w:val="12"/>
              </w:numPr>
              <w:overflowPunct w:val="0"/>
              <w:autoSpaceDE w:val="0"/>
              <w:autoSpaceDN w:val="0"/>
              <w:adjustRightInd w:val="0"/>
              <w:spacing w:after="0" w:line="240" w:lineRule="auto"/>
              <w:contextualSpacing/>
              <w:textAlignment w:val="baseline"/>
              <w:rPr>
                <w:rFonts w:ascii="Calibri" w:eastAsia="Times New Roman" w:hAnsi="Calibri" w:cs="Times New Roman"/>
              </w:rPr>
            </w:pPr>
            <w:r w:rsidRPr="00A40A8A">
              <w:rPr>
                <w:rFonts w:ascii="Calibri" w:eastAsia="Times New Roman" w:hAnsi="Calibri" w:cs="Times New Roman"/>
              </w:rPr>
              <w:t>Contribute to the development/establishment of WASH-related outcome and output results, as well as related strategies, through analysis of WASH sector needs and priorities.</w:t>
            </w:r>
          </w:p>
          <w:p w:rsidR="00A40A8A" w:rsidRPr="00A40A8A" w:rsidRDefault="00A40A8A" w:rsidP="00A40A8A">
            <w:pPr>
              <w:widowControl w:val="0"/>
              <w:overflowPunct w:val="0"/>
              <w:autoSpaceDE w:val="0"/>
              <w:autoSpaceDN w:val="0"/>
              <w:adjustRightInd w:val="0"/>
              <w:spacing w:after="0" w:line="240" w:lineRule="auto"/>
              <w:contextualSpacing/>
              <w:textAlignment w:val="baseline"/>
              <w:rPr>
                <w:rFonts w:ascii="Calibri" w:eastAsia="Times New Roman" w:hAnsi="Calibri" w:cs="Times New Roman"/>
              </w:rPr>
            </w:pPr>
          </w:p>
          <w:p w:rsidR="00A40A8A" w:rsidRPr="00A40A8A" w:rsidRDefault="00A40A8A" w:rsidP="00A40A8A">
            <w:pPr>
              <w:widowControl w:val="0"/>
              <w:numPr>
                <w:ilvl w:val="0"/>
                <w:numId w:val="12"/>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Provide technical and administrative support throughout all stages of programming processes by executing/administering a variety of technical programme transactions, preparing materials/documentations, complying with organizational processes and management systems, to support progress towards the WASH-related outcome and/or output results in the Country Programme.</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numPr>
                <w:ilvl w:val="0"/>
                <w:numId w:val="12"/>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Prepare required documentations/materials to facilitate review and approval processes.</w:t>
            </w:r>
          </w:p>
          <w:p w:rsidR="00A40A8A" w:rsidRPr="00A40A8A" w:rsidRDefault="00A40A8A" w:rsidP="00A40A8A">
            <w:pPr>
              <w:widowControl w:val="0"/>
              <w:overflowPunct w:val="0"/>
              <w:autoSpaceDE w:val="0"/>
              <w:autoSpaceDN w:val="0"/>
              <w:adjustRightInd w:val="0"/>
              <w:spacing w:after="0" w:line="240" w:lineRule="auto"/>
              <w:ind w:left="720"/>
              <w:jc w:val="both"/>
              <w:textAlignment w:val="baseline"/>
              <w:rPr>
                <w:rFonts w:ascii="Calibri" w:eastAsia="Times New Roman" w:hAnsi="Calibri" w:cs="Times New Roman"/>
              </w:rPr>
            </w:pPr>
          </w:p>
        </w:tc>
      </w:tr>
      <w:tr w:rsidR="00A40A8A" w:rsidRPr="00A40A8A" w:rsidTr="00456591">
        <w:tc>
          <w:tcPr>
            <w:tcW w:w="9918" w:type="dxa"/>
            <w:gridSpan w:val="4"/>
          </w:tcPr>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rPr>
            </w:pPr>
          </w:p>
          <w:p w:rsidR="00A40A8A" w:rsidRPr="00A40A8A" w:rsidRDefault="00A40A8A" w:rsidP="00A40A8A">
            <w:pPr>
              <w:widowControl w:val="0"/>
              <w:numPr>
                <w:ilvl w:val="0"/>
                <w:numId w:val="4"/>
              </w:numPr>
              <w:overflowPunct w:val="0"/>
              <w:autoSpaceDE w:val="0"/>
              <w:autoSpaceDN w:val="0"/>
              <w:adjustRightInd w:val="0"/>
              <w:spacing w:after="0" w:line="240" w:lineRule="auto"/>
              <w:contextualSpacing/>
              <w:jc w:val="both"/>
              <w:textAlignment w:val="baseline"/>
              <w:rPr>
                <w:rFonts w:ascii="Calibri" w:eastAsia="Times New Roman" w:hAnsi="Calibri" w:cs="Times New Roman"/>
                <w:b/>
              </w:rPr>
            </w:pPr>
            <w:r w:rsidRPr="00A40A8A">
              <w:rPr>
                <w:rFonts w:ascii="Calibri" w:eastAsia="Times New Roman" w:hAnsi="Calibri" w:cs="Times New Roman"/>
                <w:b/>
              </w:rPr>
              <w:t>Programme management, monitoring and delivery of results</w:t>
            </w:r>
          </w:p>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b/>
              </w:rPr>
            </w:pPr>
          </w:p>
          <w:p w:rsidR="00A40A8A" w:rsidRPr="00A40A8A" w:rsidRDefault="00A40A8A" w:rsidP="00A40A8A">
            <w:pPr>
              <w:widowControl w:val="0"/>
              <w:numPr>
                <w:ilvl w:val="0"/>
                <w:numId w:val="13"/>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Work collaboratively with internal and external colleagues and partners to collect/</w:t>
            </w:r>
            <w:proofErr w:type="spellStart"/>
            <w:r w:rsidRPr="00A40A8A">
              <w:rPr>
                <w:rFonts w:ascii="Calibri" w:eastAsia="Times New Roman" w:hAnsi="Calibri" w:cs="Times New Roman"/>
              </w:rPr>
              <w:t>analyze</w:t>
            </w:r>
            <w:proofErr w:type="spellEnd"/>
            <w:r w:rsidRPr="00A40A8A">
              <w:rPr>
                <w:rFonts w:ascii="Calibri" w:eastAsia="Times New Roman" w:hAnsi="Calibri" w:cs="Times New Roman"/>
              </w:rPr>
              <w:t>/ share information on implementation issues, provide solutions on routine programme implementation and alert appropriate officials and stakeholders for higher-level interventions and/or decisions. Keep record of reports and assessments for easy reference and/or to capture and institutionalize lessons learned.</w:t>
            </w:r>
          </w:p>
          <w:p w:rsidR="00A40A8A" w:rsidRPr="00A40A8A" w:rsidRDefault="00A40A8A" w:rsidP="00A40A8A">
            <w:pPr>
              <w:widowControl w:val="0"/>
              <w:overflowPunct w:val="0"/>
              <w:autoSpaceDE w:val="0"/>
              <w:autoSpaceDN w:val="0"/>
              <w:adjustRightInd w:val="0"/>
              <w:spacing w:after="0" w:line="240" w:lineRule="auto"/>
              <w:ind w:left="720"/>
              <w:textAlignment w:val="baseline"/>
              <w:rPr>
                <w:rFonts w:ascii="Calibri" w:eastAsia="Times New Roman" w:hAnsi="Calibri" w:cs="Times New Roman"/>
              </w:rPr>
            </w:pPr>
          </w:p>
          <w:p w:rsidR="00A40A8A" w:rsidRPr="00A40A8A" w:rsidRDefault="00A40A8A" w:rsidP="00A40A8A">
            <w:pPr>
              <w:widowControl w:val="0"/>
              <w:numPr>
                <w:ilvl w:val="0"/>
                <w:numId w:val="13"/>
              </w:numPr>
              <w:overflowPunct w:val="0"/>
              <w:autoSpaceDE w:val="0"/>
              <w:autoSpaceDN w:val="0"/>
              <w:adjustRightInd w:val="0"/>
              <w:spacing w:after="0" w:line="240" w:lineRule="auto"/>
              <w:contextualSpacing/>
              <w:textAlignment w:val="baseline"/>
              <w:rPr>
                <w:rFonts w:ascii="Calibri" w:eastAsia="Times New Roman" w:hAnsi="Calibri" w:cs="Times New Roman"/>
                <w:b/>
              </w:rPr>
            </w:pPr>
            <w:r w:rsidRPr="00A40A8A">
              <w:rPr>
                <w:rFonts w:ascii="Calibri" w:eastAsia="Times New Roman" w:hAnsi="Calibri" w:cs="Times New Roman"/>
              </w:rPr>
              <w:t>Participate in monitoring and evaluation exercises, programme reviews and annual sectoral reviews with government and other counterparts and prepare reports on results for required action/interventions at the higher level of program management.</w:t>
            </w:r>
          </w:p>
          <w:p w:rsidR="00A40A8A" w:rsidRPr="00A40A8A" w:rsidRDefault="00A40A8A" w:rsidP="00A40A8A">
            <w:pPr>
              <w:widowControl w:val="0"/>
              <w:overflowPunct w:val="0"/>
              <w:autoSpaceDE w:val="0"/>
              <w:autoSpaceDN w:val="0"/>
              <w:adjustRightInd w:val="0"/>
              <w:spacing w:after="0" w:line="240" w:lineRule="auto"/>
              <w:contextualSpacing/>
              <w:textAlignment w:val="baseline"/>
              <w:rPr>
                <w:rFonts w:ascii="Calibri" w:eastAsia="Times New Roman" w:hAnsi="Calibri" w:cs="Times New Roman"/>
                <w:b/>
              </w:rPr>
            </w:pPr>
          </w:p>
          <w:p w:rsidR="00A40A8A" w:rsidRPr="00A40A8A" w:rsidRDefault="00A40A8A" w:rsidP="00A40A8A">
            <w:pPr>
              <w:widowControl w:val="0"/>
              <w:numPr>
                <w:ilvl w:val="0"/>
                <w:numId w:val="13"/>
              </w:numPr>
              <w:overflowPunct w:val="0"/>
              <w:autoSpaceDE w:val="0"/>
              <w:autoSpaceDN w:val="0"/>
              <w:adjustRightInd w:val="0"/>
              <w:spacing w:after="0" w:line="240" w:lineRule="auto"/>
              <w:contextualSpacing/>
              <w:textAlignment w:val="baseline"/>
              <w:rPr>
                <w:rFonts w:ascii="Calibri" w:eastAsia="Times New Roman" w:hAnsi="Calibri" w:cs="Times New Roman"/>
                <w:b/>
              </w:rPr>
            </w:pPr>
            <w:r w:rsidRPr="00A40A8A">
              <w:rPr>
                <w:rFonts w:ascii="Calibri" w:eastAsia="Times New Roman" w:hAnsi="Calibri" w:cs="Times New Roman"/>
              </w:rPr>
              <w:t>Monitor and report on the use of sectoral programme resources (financial, administrative and other assets), verify compliance with approved allocations, organizational rules, regulations/procedures and donor commitments, standards of accountability and integrity. Report on issues identified to enable timely resolution by management/stakeholders.</w:t>
            </w:r>
          </w:p>
          <w:p w:rsidR="00A40A8A" w:rsidRPr="00A40A8A" w:rsidRDefault="00A40A8A" w:rsidP="00A40A8A">
            <w:pPr>
              <w:widowControl w:val="0"/>
              <w:overflowPunct w:val="0"/>
              <w:autoSpaceDE w:val="0"/>
              <w:autoSpaceDN w:val="0"/>
              <w:adjustRightInd w:val="0"/>
              <w:spacing w:after="0" w:line="240" w:lineRule="auto"/>
              <w:contextualSpacing/>
              <w:textAlignment w:val="baseline"/>
              <w:rPr>
                <w:rFonts w:ascii="Calibri" w:eastAsia="Times New Roman" w:hAnsi="Calibri" w:cs="Times New Roman"/>
                <w:b/>
              </w:rPr>
            </w:pPr>
          </w:p>
          <w:p w:rsidR="00A40A8A" w:rsidRPr="00A40A8A" w:rsidRDefault="00A40A8A" w:rsidP="00A40A8A">
            <w:pPr>
              <w:widowControl w:val="0"/>
              <w:numPr>
                <w:ilvl w:val="0"/>
                <w:numId w:val="13"/>
              </w:numPr>
              <w:overflowPunct w:val="0"/>
              <w:autoSpaceDE w:val="0"/>
              <w:autoSpaceDN w:val="0"/>
              <w:adjustRightInd w:val="0"/>
              <w:spacing w:after="0" w:line="240" w:lineRule="auto"/>
              <w:contextualSpacing/>
              <w:textAlignment w:val="baseline"/>
              <w:rPr>
                <w:rFonts w:ascii="Calibri" w:eastAsia="Times New Roman" w:hAnsi="Calibri" w:cs="Times New Roman"/>
                <w:b/>
              </w:rPr>
            </w:pPr>
            <w:r w:rsidRPr="00A40A8A">
              <w:rPr>
                <w:rFonts w:ascii="Calibri" w:eastAsia="Times New Roman" w:hAnsi="Calibri" w:cs="Times New Roman"/>
              </w:rPr>
              <w:t>Prepare sectoral progress reports for management, donors and partners.</w:t>
            </w:r>
          </w:p>
          <w:p w:rsidR="00A40A8A" w:rsidRPr="00A40A8A" w:rsidRDefault="00A40A8A" w:rsidP="00A40A8A">
            <w:pPr>
              <w:widowControl w:val="0"/>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
              </w:rPr>
            </w:pPr>
          </w:p>
        </w:tc>
      </w:tr>
      <w:tr w:rsidR="00A40A8A" w:rsidRPr="00A40A8A" w:rsidTr="00456591">
        <w:tc>
          <w:tcPr>
            <w:tcW w:w="9918" w:type="dxa"/>
            <w:gridSpan w:val="4"/>
          </w:tcPr>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rPr>
            </w:pPr>
          </w:p>
          <w:p w:rsidR="00A40A8A" w:rsidRPr="00A40A8A" w:rsidRDefault="00A40A8A" w:rsidP="00A40A8A">
            <w:pPr>
              <w:widowControl w:val="0"/>
              <w:numPr>
                <w:ilvl w:val="0"/>
                <w:numId w:val="4"/>
              </w:numPr>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b/>
              </w:rPr>
              <w:t>Technical and operational support for programme implementation</w:t>
            </w:r>
          </w:p>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b/>
              </w:rPr>
            </w:pPr>
          </w:p>
          <w:p w:rsidR="00A40A8A" w:rsidRPr="00A40A8A" w:rsidRDefault="00A40A8A" w:rsidP="00A40A8A">
            <w:pPr>
              <w:widowControl w:val="0"/>
              <w:numPr>
                <w:ilvl w:val="0"/>
                <w:numId w:val="5"/>
              </w:numPr>
              <w:overflowPunct w:val="0"/>
              <w:autoSpaceDE w:val="0"/>
              <w:autoSpaceDN w:val="0"/>
              <w:adjustRightInd w:val="0"/>
              <w:spacing w:after="0" w:line="240" w:lineRule="auto"/>
              <w:contextualSpacing/>
              <w:textAlignment w:val="baseline"/>
              <w:rPr>
                <w:rFonts w:ascii="Calibri" w:eastAsia="Times New Roman" w:hAnsi="Calibri" w:cs="Times New Roman"/>
                <w:b/>
              </w:rPr>
            </w:pPr>
            <w:r w:rsidRPr="00A40A8A">
              <w:rPr>
                <w:rFonts w:ascii="Calibri" w:eastAsia="Times New Roman" w:hAnsi="Calibri" w:cs="Times New Roman"/>
              </w:rPr>
              <w:t>Undertake field visits and surveys, collect and share reports with partners/stakeholders. Report critical issues, bottlenecks and potential problems to supervisor, for timely action.</w:t>
            </w:r>
          </w:p>
          <w:p w:rsidR="00A40A8A" w:rsidRPr="00A40A8A" w:rsidRDefault="00A40A8A" w:rsidP="00A40A8A">
            <w:pPr>
              <w:widowControl w:val="0"/>
              <w:overflowPunct w:val="0"/>
              <w:autoSpaceDE w:val="0"/>
              <w:autoSpaceDN w:val="0"/>
              <w:adjustRightInd w:val="0"/>
              <w:spacing w:after="0" w:line="240" w:lineRule="auto"/>
              <w:ind w:left="720"/>
              <w:contextualSpacing/>
              <w:textAlignment w:val="baseline"/>
              <w:rPr>
                <w:rFonts w:ascii="Calibri" w:eastAsia="Times New Roman" w:hAnsi="Calibri" w:cs="Times New Roman"/>
                <w:b/>
              </w:rPr>
            </w:pPr>
          </w:p>
          <w:p w:rsidR="00A40A8A" w:rsidRPr="00A40A8A" w:rsidRDefault="00A40A8A" w:rsidP="00A40A8A">
            <w:pPr>
              <w:widowControl w:val="0"/>
              <w:numPr>
                <w:ilvl w:val="0"/>
                <w:numId w:val="10"/>
              </w:numPr>
              <w:overflowPunct w:val="0"/>
              <w:autoSpaceDE w:val="0"/>
              <w:autoSpaceDN w:val="0"/>
              <w:adjustRightInd w:val="0"/>
              <w:spacing w:after="0" w:line="240" w:lineRule="auto"/>
              <w:contextualSpacing/>
              <w:textAlignment w:val="baseline"/>
              <w:rPr>
                <w:rFonts w:ascii="Calibri" w:eastAsia="Times New Roman" w:hAnsi="Calibri" w:cs="Times New Roman"/>
                <w:b/>
              </w:rPr>
            </w:pPr>
            <w:r w:rsidRPr="00A40A8A">
              <w:rPr>
                <w:rFonts w:ascii="Calibri" w:eastAsia="Times New Roman" w:hAnsi="Calibri" w:cs="Times New Roman"/>
              </w:rPr>
              <w:t>Provide technical and operational support to government counterparts, NGO partners, UN system partners and other country office partners/donors on the application and understanding of UNICEF policies, strategies, processes and best practices in WASH, to support programme implementation.</w:t>
            </w:r>
          </w:p>
          <w:p w:rsidR="00A40A8A" w:rsidRPr="00A40A8A" w:rsidRDefault="00A40A8A" w:rsidP="00A40A8A">
            <w:pPr>
              <w:widowControl w:val="0"/>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
              </w:rPr>
            </w:pPr>
          </w:p>
        </w:tc>
      </w:tr>
      <w:tr w:rsidR="00A40A8A" w:rsidRPr="00A40A8A" w:rsidTr="00C72279">
        <w:trPr>
          <w:trHeight w:val="2150"/>
        </w:trPr>
        <w:tc>
          <w:tcPr>
            <w:tcW w:w="9918" w:type="dxa"/>
            <w:gridSpan w:val="4"/>
          </w:tcPr>
          <w:p w:rsidR="00A40A8A" w:rsidRPr="00A40A8A" w:rsidRDefault="00A40A8A" w:rsidP="00A40A8A">
            <w:pPr>
              <w:widowControl w:val="0"/>
              <w:overflowPunct w:val="0"/>
              <w:autoSpaceDE w:val="0"/>
              <w:autoSpaceDN w:val="0"/>
              <w:adjustRightInd w:val="0"/>
              <w:spacing w:after="0" w:line="240" w:lineRule="auto"/>
              <w:ind w:left="360"/>
              <w:textAlignment w:val="baseline"/>
              <w:rPr>
                <w:rFonts w:ascii="Calibri" w:eastAsia="Times New Roman" w:hAnsi="Calibri" w:cs="Times New Roman"/>
                <w:b/>
              </w:rPr>
            </w:pPr>
          </w:p>
          <w:p w:rsidR="00A40A8A" w:rsidRPr="00A40A8A" w:rsidRDefault="00A40A8A" w:rsidP="00A40A8A">
            <w:pPr>
              <w:widowControl w:val="0"/>
              <w:numPr>
                <w:ilvl w:val="0"/>
                <w:numId w:val="18"/>
              </w:numPr>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b/>
              </w:rPr>
              <w:t>Humanitarian WASH preparedness and response</w:t>
            </w:r>
          </w:p>
          <w:p w:rsidR="00A40A8A" w:rsidRPr="00A40A8A" w:rsidRDefault="00A40A8A" w:rsidP="00A40A8A">
            <w:pPr>
              <w:widowControl w:val="0"/>
              <w:overflowPunct w:val="0"/>
              <w:autoSpaceDE w:val="0"/>
              <w:autoSpaceDN w:val="0"/>
              <w:adjustRightInd w:val="0"/>
              <w:spacing w:after="0" w:line="240" w:lineRule="auto"/>
              <w:ind w:left="720"/>
              <w:contextualSpacing/>
              <w:jc w:val="both"/>
              <w:textAlignment w:val="baseline"/>
              <w:rPr>
                <w:rFonts w:ascii="Calibri" w:eastAsia="Calibri" w:hAnsi="Calibri" w:cs="Calibri"/>
              </w:rPr>
            </w:pPr>
          </w:p>
          <w:p w:rsidR="00A40A8A" w:rsidRPr="00A40A8A" w:rsidRDefault="00A40A8A" w:rsidP="00A40A8A">
            <w:pPr>
              <w:widowControl w:val="0"/>
              <w:numPr>
                <w:ilvl w:val="0"/>
                <w:numId w:val="11"/>
              </w:numPr>
              <w:overflowPunct w:val="0"/>
              <w:autoSpaceDE w:val="0"/>
              <w:autoSpaceDN w:val="0"/>
              <w:adjustRightInd w:val="0"/>
              <w:spacing w:after="120" w:line="240" w:lineRule="auto"/>
              <w:contextualSpacing/>
              <w:textAlignment w:val="baseline"/>
              <w:rPr>
                <w:rFonts w:ascii="Calibri" w:eastAsia="Calibri" w:hAnsi="Calibri" w:cs="Calibri"/>
              </w:rPr>
            </w:pPr>
            <w:r w:rsidRPr="00A40A8A">
              <w:rPr>
                <w:rFonts w:ascii="Calibri" w:eastAsia="Calibri" w:hAnsi="Calibri" w:cs="Calibri"/>
              </w:rPr>
              <w:t>Draft requisitions for supplies, services, long-term agreements and partnership agreements to ensure UNICEF is prepared to deliver on its commitments for WASH in case of an emergency.</w:t>
            </w:r>
          </w:p>
          <w:p w:rsidR="00A40A8A" w:rsidRPr="00A40A8A" w:rsidRDefault="00A40A8A" w:rsidP="00A40A8A">
            <w:pPr>
              <w:widowControl w:val="0"/>
              <w:numPr>
                <w:ilvl w:val="0"/>
                <w:numId w:val="11"/>
              </w:numPr>
              <w:overflowPunct w:val="0"/>
              <w:autoSpaceDE w:val="0"/>
              <w:autoSpaceDN w:val="0"/>
              <w:adjustRightInd w:val="0"/>
              <w:spacing w:after="120" w:line="240" w:lineRule="auto"/>
              <w:contextualSpacing/>
              <w:textAlignment w:val="baseline"/>
              <w:rPr>
                <w:rFonts w:ascii="Calibri" w:eastAsia="Calibri" w:hAnsi="Calibri" w:cs="Calibri"/>
              </w:rPr>
            </w:pPr>
            <w:r w:rsidRPr="00A40A8A">
              <w:rPr>
                <w:rFonts w:ascii="Calibri" w:eastAsia="Calibri" w:hAnsi="Calibri" w:cs="Calibri"/>
              </w:rPr>
              <w:t>Study and fully understand UNICEF’s procedures for responding in an emergency.</w:t>
            </w:r>
          </w:p>
          <w:p w:rsidR="00A40A8A" w:rsidRPr="00A40A8A" w:rsidRDefault="00A40A8A" w:rsidP="00A40A8A">
            <w:pPr>
              <w:widowControl w:val="0"/>
              <w:numPr>
                <w:ilvl w:val="0"/>
                <w:numId w:val="11"/>
              </w:numPr>
              <w:overflowPunct w:val="0"/>
              <w:autoSpaceDE w:val="0"/>
              <w:autoSpaceDN w:val="0"/>
              <w:adjustRightInd w:val="0"/>
              <w:spacing w:after="120" w:line="240" w:lineRule="auto"/>
              <w:contextualSpacing/>
              <w:textAlignment w:val="baseline"/>
              <w:rPr>
                <w:rFonts w:ascii="Calibri" w:eastAsia="Times New Roman" w:hAnsi="Calibri" w:cs="Times New Roman"/>
                <w:b/>
              </w:rPr>
            </w:pPr>
            <w:r w:rsidRPr="00A40A8A">
              <w:rPr>
                <w:rFonts w:ascii="Calibri" w:eastAsia="Calibri" w:hAnsi="Calibri" w:cs="Calibri"/>
              </w:rPr>
              <w:t xml:space="preserve">Take up support roles in an emergency response and early recovery, as and when the need arises.  </w:t>
            </w:r>
          </w:p>
        </w:tc>
      </w:tr>
      <w:tr w:rsidR="00A40A8A" w:rsidRPr="00A40A8A" w:rsidTr="00456591">
        <w:tc>
          <w:tcPr>
            <w:tcW w:w="9918" w:type="dxa"/>
            <w:gridSpan w:val="4"/>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rPr>
            </w:pPr>
          </w:p>
          <w:p w:rsidR="00A40A8A" w:rsidRPr="00A40A8A" w:rsidRDefault="00A40A8A" w:rsidP="00A40A8A">
            <w:pPr>
              <w:widowControl w:val="0"/>
              <w:numPr>
                <w:ilvl w:val="0"/>
                <w:numId w:val="18"/>
              </w:numPr>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b/>
              </w:rPr>
              <w:t>Networking and partnership building</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rPr>
            </w:pPr>
          </w:p>
          <w:p w:rsidR="00A40A8A" w:rsidRPr="00A40A8A" w:rsidRDefault="00A40A8A" w:rsidP="00A40A8A">
            <w:pPr>
              <w:widowControl w:val="0"/>
              <w:numPr>
                <w:ilvl w:val="0"/>
                <w:numId w:val="6"/>
              </w:numPr>
              <w:overflowPunct w:val="0"/>
              <w:autoSpaceDE w:val="0"/>
              <w:autoSpaceDN w:val="0"/>
              <w:adjustRightInd w:val="0"/>
              <w:spacing w:after="120" w:line="240" w:lineRule="auto"/>
              <w:contextualSpacing/>
              <w:textAlignment w:val="baseline"/>
              <w:rPr>
                <w:rFonts w:ascii="Calibri" w:eastAsia="Calibri" w:hAnsi="Calibri" w:cs="Calibri"/>
              </w:rPr>
            </w:pPr>
            <w:r w:rsidRPr="00A40A8A">
              <w:rPr>
                <w:rFonts w:ascii="Calibri" w:eastAsia="Calibri" w:hAnsi="Calibri" w:cs="Calibri"/>
              </w:rPr>
              <w:t>Build and sustain close working partnerships with government counterparts and national stakeholders through active sharing of information and knowledge to facilitate programme implementation and build capacity of stakeholders to achieve WASH output results.</w:t>
            </w:r>
          </w:p>
          <w:p w:rsidR="00A40A8A" w:rsidRPr="00A40A8A" w:rsidRDefault="00A40A8A" w:rsidP="00A40A8A">
            <w:pPr>
              <w:widowControl w:val="0"/>
              <w:numPr>
                <w:ilvl w:val="0"/>
                <w:numId w:val="6"/>
              </w:numPr>
              <w:overflowPunct w:val="0"/>
              <w:autoSpaceDE w:val="0"/>
              <w:autoSpaceDN w:val="0"/>
              <w:adjustRightInd w:val="0"/>
              <w:spacing w:after="120" w:line="240" w:lineRule="auto"/>
              <w:contextualSpacing/>
              <w:textAlignment w:val="baseline"/>
              <w:rPr>
                <w:rFonts w:ascii="Calibri" w:eastAsia="Calibri" w:hAnsi="Calibri" w:cs="Calibri"/>
              </w:rPr>
            </w:pPr>
            <w:r w:rsidRPr="00A40A8A">
              <w:rPr>
                <w:rFonts w:ascii="Calibri" w:eastAsia="Times New Roman" w:hAnsi="Calibri" w:cs="Times New Roman"/>
              </w:rPr>
              <w:t>Draft communication and information materials for WASH programme advocacy to promote awareness, establish partnership/alliances and support fund-raising for WASH.</w:t>
            </w:r>
          </w:p>
          <w:p w:rsidR="00A40A8A" w:rsidRPr="00A40A8A" w:rsidRDefault="00A40A8A" w:rsidP="00A40A8A">
            <w:pPr>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 xml:space="preserve">Participate in inter-agency meetings on UNDAF planning, to integrate and harmonize UNICEF output results and implementation strategies with UNDAF development and planning processes. </w:t>
            </w:r>
          </w:p>
          <w:p w:rsidR="00A40A8A" w:rsidRPr="00A40A8A" w:rsidRDefault="00A40A8A" w:rsidP="00A40A8A">
            <w:pPr>
              <w:widowControl w:val="0"/>
              <w:overflowPunct w:val="0"/>
              <w:autoSpaceDE w:val="0"/>
              <w:autoSpaceDN w:val="0"/>
              <w:adjustRightInd w:val="0"/>
              <w:spacing w:after="0" w:line="240" w:lineRule="auto"/>
              <w:ind w:left="720"/>
              <w:textAlignment w:val="baseline"/>
              <w:rPr>
                <w:rFonts w:ascii="Calibri" w:eastAsia="Times New Roman" w:hAnsi="Calibri" w:cs="Times New Roman"/>
              </w:rPr>
            </w:pPr>
          </w:p>
          <w:p w:rsidR="00A40A8A" w:rsidRPr="00A40A8A" w:rsidRDefault="00A40A8A" w:rsidP="00A40A8A">
            <w:pPr>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Research information on potential donors and prepare resource mobilization materials and briefs for fund raising and partnership development purposes.</w:t>
            </w:r>
          </w:p>
          <w:p w:rsidR="00A40A8A" w:rsidRPr="00A40A8A" w:rsidRDefault="00A40A8A" w:rsidP="00A40A8A">
            <w:pPr>
              <w:widowControl w:val="0"/>
              <w:overflowPunct w:val="0"/>
              <w:autoSpaceDE w:val="0"/>
              <w:autoSpaceDN w:val="0"/>
              <w:adjustRightInd w:val="0"/>
              <w:spacing w:after="0" w:line="240" w:lineRule="auto"/>
              <w:ind w:left="720"/>
              <w:jc w:val="both"/>
              <w:textAlignment w:val="baseline"/>
              <w:rPr>
                <w:rFonts w:ascii="Calibri" w:eastAsia="Times New Roman" w:hAnsi="Calibri" w:cs="Times New Roman"/>
              </w:rPr>
            </w:pPr>
          </w:p>
        </w:tc>
      </w:tr>
      <w:tr w:rsidR="00A40A8A" w:rsidRPr="00A40A8A" w:rsidTr="00456591">
        <w:tc>
          <w:tcPr>
            <w:tcW w:w="9918" w:type="dxa"/>
            <w:gridSpan w:val="4"/>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numPr>
                <w:ilvl w:val="0"/>
                <w:numId w:val="18"/>
              </w:numPr>
              <w:overflowPunct w:val="0"/>
              <w:autoSpaceDE w:val="0"/>
              <w:autoSpaceDN w:val="0"/>
              <w:adjustRightInd w:val="0"/>
              <w:spacing w:after="0" w:line="240" w:lineRule="auto"/>
              <w:textAlignment w:val="baseline"/>
              <w:rPr>
                <w:rFonts w:ascii="Calibri" w:eastAsia="Times New Roman" w:hAnsi="Calibri" w:cs="Times New Roman"/>
                <w:b/>
              </w:rPr>
            </w:pPr>
            <w:r w:rsidRPr="00A40A8A">
              <w:rPr>
                <w:rFonts w:ascii="Calibri" w:eastAsia="Times New Roman" w:hAnsi="Calibri" w:cs="Times New Roman"/>
                <w:b/>
              </w:rPr>
              <w:t>Innovation, knowledge management and capacity building</w:t>
            </w:r>
          </w:p>
          <w:p w:rsidR="00A40A8A" w:rsidRPr="00A40A8A" w:rsidRDefault="00A40A8A" w:rsidP="00A40A8A">
            <w:pPr>
              <w:widowControl w:val="0"/>
              <w:overflowPunct w:val="0"/>
              <w:autoSpaceDE w:val="0"/>
              <w:autoSpaceDN w:val="0"/>
              <w:adjustRightInd w:val="0"/>
              <w:spacing w:after="0" w:line="240" w:lineRule="auto"/>
              <w:contextualSpacing/>
              <w:jc w:val="both"/>
              <w:textAlignment w:val="baseline"/>
              <w:rPr>
                <w:rFonts w:ascii="Calibri" w:eastAsia="Times New Roman" w:hAnsi="Calibri" w:cs="Verdana"/>
              </w:rPr>
            </w:pPr>
          </w:p>
          <w:p w:rsidR="00A40A8A" w:rsidRPr="00A40A8A" w:rsidRDefault="00A40A8A" w:rsidP="00A40A8A">
            <w:pPr>
              <w:widowControl w:val="0"/>
              <w:numPr>
                <w:ilvl w:val="0"/>
                <w:numId w:val="1"/>
              </w:numPr>
              <w:overflowPunct w:val="0"/>
              <w:autoSpaceDE w:val="0"/>
              <w:autoSpaceDN w:val="0"/>
              <w:adjustRightInd w:val="0"/>
              <w:spacing w:after="0" w:line="240" w:lineRule="auto"/>
              <w:contextualSpacing/>
              <w:textAlignment w:val="baseline"/>
              <w:rPr>
                <w:rFonts w:ascii="Calibri" w:eastAsia="Times New Roman" w:hAnsi="Calibri" w:cs="Times New Roman"/>
              </w:rPr>
            </w:pPr>
            <w:r w:rsidRPr="00A40A8A">
              <w:rPr>
                <w:rFonts w:ascii="Calibri" w:eastAsia="Times New Roman" w:hAnsi="Calibri" w:cs="Times New Roman"/>
              </w:rPr>
              <w:t xml:space="preserve">Assist in the development, implementation, monitoring and documentation of WASH action research and innovation (technical or systems).  </w:t>
            </w:r>
          </w:p>
          <w:p w:rsidR="00A40A8A" w:rsidRPr="00A40A8A" w:rsidRDefault="00A40A8A" w:rsidP="00A40A8A">
            <w:pPr>
              <w:widowControl w:val="0"/>
              <w:overflowPunct w:val="0"/>
              <w:autoSpaceDE w:val="0"/>
              <w:autoSpaceDN w:val="0"/>
              <w:adjustRightInd w:val="0"/>
              <w:spacing w:after="0" w:line="240" w:lineRule="auto"/>
              <w:ind w:left="720"/>
              <w:contextualSpacing/>
              <w:textAlignment w:val="baseline"/>
              <w:rPr>
                <w:rFonts w:ascii="Calibri" w:eastAsia="Times New Roman" w:hAnsi="Calibri" w:cs="Times New Roman"/>
              </w:rPr>
            </w:pPr>
          </w:p>
          <w:p w:rsidR="00A40A8A" w:rsidRPr="00A40A8A" w:rsidRDefault="00A40A8A" w:rsidP="00A40A8A">
            <w:pPr>
              <w:widowControl w:val="0"/>
              <w:numPr>
                <w:ilvl w:val="0"/>
                <w:numId w:val="1"/>
              </w:numPr>
              <w:overflowPunct w:val="0"/>
              <w:autoSpaceDE w:val="0"/>
              <w:autoSpaceDN w:val="0"/>
              <w:adjustRightInd w:val="0"/>
              <w:spacing w:after="0" w:line="240" w:lineRule="auto"/>
              <w:contextualSpacing/>
              <w:textAlignment w:val="baseline"/>
              <w:rPr>
                <w:rFonts w:ascii="Calibri" w:eastAsia="Times New Roman" w:hAnsi="Calibri" w:cs="Times New Roman"/>
              </w:rPr>
            </w:pPr>
            <w:r w:rsidRPr="00A40A8A">
              <w:rPr>
                <w:rFonts w:ascii="Calibri" w:eastAsia="Times New Roman" w:hAnsi="Calibri" w:cs="Times New Roman"/>
              </w:rPr>
              <w:t>Assist in the preparation of learning/knowledge products, covering innovative approaches and good practices, to support overall WASH sector development.</w:t>
            </w:r>
          </w:p>
          <w:p w:rsidR="00A40A8A" w:rsidRPr="00A40A8A" w:rsidRDefault="00A40A8A" w:rsidP="00A40A8A">
            <w:pPr>
              <w:spacing w:after="0" w:line="240" w:lineRule="auto"/>
              <w:ind w:left="720"/>
              <w:rPr>
                <w:rFonts w:ascii="Calibri" w:eastAsia="Times New Roman" w:hAnsi="Calibri" w:cs="Times New Roman"/>
                <w:lang w:val="en-US"/>
              </w:rPr>
            </w:pPr>
          </w:p>
          <w:p w:rsidR="00A40A8A" w:rsidRPr="00A40A8A" w:rsidRDefault="00A40A8A" w:rsidP="00A40A8A">
            <w:pPr>
              <w:widowControl w:val="0"/>
              <w:numPr>
                <w:ilvl w:val="0"/>
                <w:numId w:val="3"/>
              </w:numPr>
              <w:overflowPunct w:val="0"/>
              <w:autoSpaceDE w:val="0"/>
              <w:autoSpaceDN w:val="0"/>
              <w:adjustRightInd w:val="0"/>
              <w:spacing w:after="0" w:line="240" w:lineRule="auto"/>
              <w:textAlignment w:val="baseline"/>
              <w:rPr>
                <w:rFonts w:ascii="Calibri" w:eastAsia="Cambria" w:hAnsi="Calibri" w:cs="Verdana"/>
                <w:lang w:val="en-US"/>
              </w:rPr>
            </w:pPr>
            <w:r w:rsidRPr="00A40A8A">
              <w:rPr>
                <w:rFonts w:ascii="Calibri" w:eastAsia="Cambria" w:hAnsi="Calibri" w:cs="Verdana"/>
                <w:lang w:val="en-US"/>
              </w:rPr>
              <w:t xml:space="preserve">Assist in creating and delivering learning opportunities for UNICEF WASH staff, to ensure our sector capacity remains up-to-date with latest developments.  </w:t>
            </w:r>
          </w:p>
          <w:p w:rsidR="00A40A8A" w:rsidRPr="00A40A8A" w:rsidRDefault="00A40A8A" w:rsidP="00A40A8A">
            <w:pPr>
              <w:autoSpaceDE w:val="0"/>
              <w:autoSpaceDN w:val="0"/>
              <w:adjustRightInd w:val="0"/>
              <w:spacing w:after="0" w:line="240" w:lineRule="auto"/>
              <w:ind w:left="720"/>
              <w:rPr>
                <w:rFonts w:ascii="Calibri" w:eastAsia="Cambria" w:hAnsi="Calibri" w:cs="Verdana"/>
                <w:lang w:val="en-US"/>
              </w:rPr>
            </w:pPr>
          </w:p>
          <w:p w:rsidR="00A40A8A" w:rsidRPr="00A40A8A" w:rsidRDefault="00A40A8A" w:rsidP="00A40A8A">
            <w:pPr>
              <w:widowControl w:val="0"/>
              <w:numPr>
                <w:ilvl w:val="0"/>
                <w:numId w:val="3"/>
              </w:numPr>
              <w:overflowPunct w:val="0"/>
              <w:autoSpaceDE w:val="0"/>
              <w:autoSpaceDN w:val="0"/>
              <w:adjustRightInd w:val="0"/>
              <w:spacing w:after="0" w:line="240" w:lineRule="auto"/>
              <w:textAlignment w:val="baseline"/>
              <w:rPr>
                <w:rFonts w:ascii="Calibri" w:eastAsia="Cambria" w:hAnsi="Calibri" w:cs="Verdana"/>
                <w:lang w:val="en-US"/>
              </w:rPr>
            </w:pPr>
            <w:r w:rsidRPr="00A40A8A">
              <w:rPr>
                <w:rFonts w:ascii="Calibri" w:eastAsia="Cambria" w:hAnsi="Calibri" w:cs="Verdana"/>
                <w:lang w:val="en-US"/>
              </w:rPr>
              <w:t>Participate as resource person in capacity building initiatives to enhance the competencies of clients/stakeholders.</w:t>
            </w:r>
          </w:p>
          <w:p w:rsidR="00A40A8A" w:rsidRPr="00A40A8A" w:rsidRDefault="00A40A8A" w:rsidP="00A40A8A">
            <w:pPr>
              <w:autoSpaceDE w:val="0"/>
              <w:autoSpaceDN w:val="0"/>
              <w:adjustRightInd w:val="0"/>
              <w:spacing w:after="0" w:line="240" w:lineRule="auto"/>
              <w:ind w:left="720"/>
              <w:jc w:val="both"/>
              <w:rPr>
                <w:rFonts w:ascii="Calibri" w:eastAsia="Cambria" w:hAnsi="Calibri" w:cs="Arial"/>
                <w:bCs/>
                <w:color w:val="000000"/>
                <w:lang w:val="en-US"/>
              </w:rPr>
            </w:pPr>
          </w:p>
        </w:tc>
      </w:tr>
      <w:tr w:rsidR="00A40A8A" w:rsidRPr="00A40A8A" w:rsidTr="00456591">
        <w:tc>
          <w:tcPr>
            <w:tcW w:w="9918" w:type="dxa"/>
            <w:gridSpan w:val="4"/>
            <w:tcBorders>
              <w:bottom w:val="single" w:sz="4" w:space="0" w:color="auto"/>
            </w:tcBorders>
            <w:shd w:val="clear" w:color="auto" w:fill="E0E0E0"/>
          </w:tcPr>
          <w:p w:rsidR="00A40A8A" w:rsidRPr="00A40A8A" w:rsidRDefault="00A40A8A" w:rsidP="00A40A8A">
            <w:pPr>
              <w:widowControl w:val="0"/>
              <w:pBdr>
                <w:top w:val="single" w:sz="18" w:space="1" w:color="auto"/>
                <w:left w:val="single" w:sz="18" w:space="4" w:color="auto"/>
                <w:bottom w:val="single" w:sz="18" w:space="1" w:color="auto"/>
                <w:right w:val="single" w:sz="18" w:space="4" w:color="auto"/>
              </w:pBdr>
              <w:overflowPunct w:val="0"/>
              <w:autoSpaceDE w:val="0"/>
              <w:autoSpaceDN w:val="0"/>
              <w:adjustRightInd w:val="0"/>
              <w:spacing w:after="0" w:line="240" w:lineRule="auto"/>
              <w:textAlignment w:val="baseline"/>
              <w:rPr>
                <w:rFonts w:ascii="Calibri" w:eastAsia="Times New Roman" w:hAnsi="Calibri" w:cs="Times New Roman"/>
                <w:b/>
                <w:sz w:val="28"/>
                <w:szCs w:val="28"/>
              </w:rPr>
            </w:pPr>
          </w:p>
          <w:p w:rsidR="00A40A8A" w:rsidRPr="00A40A8A" w:rsidRDefault="00A40A8A" w:rsidP="00A40A8A">
            <w:pPr>
              <w:widowControl w:val="0"/>
              <w:pBdr>
                <w:top w:val="single" w:sz="18" w:space="1" w:color="auto"/>
                <w:left w:val="single" w:sz="18" w:space="4" w:color="auto"/>
                <w:bottom w:val="single" w:sz="18" w:space="1" w:color="auto"/>
                <w:right w:val="single" w:sz="18" w:space="4" w:color="auto"/>
              </w:pBdr>
              <w:overflowPunct w:val="0"/>
              <w:autoSpaceDE w:val="0"/>
              <w:autoSpaceDN w:val="0"/>
              <w:adjustRightInd w:val="0"/>
              <w:spacing w:after="0" w:line="240" w:lineRule="auto"/>
              <w:textAlignment w:val="baseline"/>
              <w:rPr>
                <w:rFonts w:ascii="Calibri" w:eastAsia="Times New Roman" w:hAnsi="Calibri" w:cs="Times New Roman"/>
                <w:b/>
                <w:sz w:val="28"/>
                <w:szCs w:val="28"/>
              </w:rPr>
            </w:pPr>
            <w:r w:rsidRPr="00A40A8A">
              <w:rPr>
                <w:rFonts w:ascii="Calibri" w:eastAsia="Times New Roman" w:hAnsi="Calibri" w:cs="Times New Roman"/>
                <w:b/>
                <w:sz w:val="28"/>
                <w:szCs w:val="28"/>
              </w:rPr>
              <w:t xml:space="preserve">IV. Impact of Results </w:t>
            </w:r>
          </w:p>
          <w:p w:rsidR="00A40A8A" w:rsidRPr="00A40A8A" w:rsidRDefault="00A40A8A" w:rsidP="00A40A8A">
            <w:pPr>
              <w:widowControl w:val="0"/>
              <w:pBdr>
                <w:top w:val="single" w:sz="18" w:space="1" w:color="auto"/>
                <w:left w:val="single" w:sz="18" w:space="4" w:color="auto"/>
                <w:bottom w:val="single" w:sz="18" w:space="1" w:color="auto"/>
                <w:right w:val="single" w:sz="18" w:space="4" w:color="auto"/>
              </w:pBdr>
              <w:overflowPunct w:val="0"/>
              <w:autoSpaceDE w:val="0"/>
              <w:autoSpaceDN w:val="0"/>
              <w:adjustRightInd w:val="0"/>
              <w:spacing w:after="0" w:line="240" w:lineRule="auto"/>
              <w:textAlignment w:val="baseline"/>
              <w:rPr>
                <w:rFonts w:ascii="Calibri" w:eastAsia="Times New Roman" w:hAnsi="Calibri" w:cs="Times New Roman"/>
                <w:b/>
                <w:sz w:val="28"/>
                <w:szCs w:val="28"/>
              </w:rPr>
            </w:pPr>
          </w:p>
        </w:tc>
      </w:tr>
      <w:tr w:rsidR="00A40A8A" w:rsidRPr="00A40A8A" w:rsidTr="00C72279">
        <w:trPr>
          <w:trHeight w:val="1790"/>
        </w:trPr>
        <w:tc>
          <w:tcPr>
            <w:tcW w:w="9918" w:type="dxa"/>
            <w:gridSpan w:val="4"/>
          </w:tcPr>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 xml:space="preserve">The support provided by the level 2 WASH officer will enable the Country Office to achieve the WASH-related output results of the country programme.  This, in turn, will contribute to the achievement of the outcome results of the Country Programme Document.  When done effectively, the achievement of the outcome results will improve child survival, growth and development and reduce inequalities in the country.  </w:t>
            </w:r>
          </w:p>
        </w:tc>
      </w:tr>
      <w:tr w:rsidR="00A40A8A" w:rsidRPr="00A40A8A" w:rsidTr="00456591">
        <w:tc>
          <w:tcPr>
            <w:tcW w:w="9918" w:type="dxa"/>
            <w:gridSpan w:val="4"/>
            <w:shd w:val="clear" w:color="auto" w:fill="E0E0E0"/>
          </w:tcPr>
          <w:p w:rsidR="00A40A8A" w:rsidRPr="00A40A8A" w:rsidRDefault="00A40A8A" w:rsidP="00A40A8A">
            <w:pPr>
              <w:widowControl w:val="0"/>
              <w:pBdr>
                <w:top w:val="single" w:sz="18" w:space="1" w:color="auto"/>
                <w:left w:val="single" w:sz="18" w:space="4" w:color="auto"/>
                <w:bottom w:val="single" w:sz="18" w:space="1" w:color="auto"/>
                <w:right w:val="single" w:sz="18" w:space="4" w:color="auto"/>
              </w:pBdr>
              <w:overflowPunct w:val="0"/>
              <w:autoSpaceDE w:val="0"/>
              <w:autoSpaceDN w:val="0"/>
              <w:adjustRightInd w:val="0"/>
              <w:spacing w:after="0" w:line="240" w:lineRule="auto"/>
              <w:textAlignment w:val="baseline"/>
              <w:rPr>
                <w:rFonts w:ascii="Calibri" w:eastAsia="Times New Roman" w:hAnsi="Calibri" w:cs="Times New Roman"/>
                <w:b/>
                <w:sz w:val="28"/>
                <w:szCs w:val="28"/>
              </w:rPr>
            </w:pPr>
            <w:r w:rsidRPr="00A40A8A">
              <w:rPr>
                <w:rFonts w:ascii="Calibri" w:eastAsia="Times New Roman" w:hAnsi="Calibri" w:cs="Times New Roman"/>
                <w:b/>
                <w:sz w:val="28"/>
                <w:szCs w:val="28"/>
              </w:rPr>
              <w:t xml:space="preserve">V. Competencies and level of proficiency required (based on UNICEF Professional Competency Profiles. </w:t>
            </w:r>
          </w:p>
          <w:p w:rsidR="00A40A8A" w:rsidRPr="00A40A8A" w:rsidRDefault="00A40A8A" w:rsidP="00A40A8A">
            <w:pPr>
              <w:widowControl w:val="0"/>
              <w:pBdr>
                <w:top w:val="single" w:sz="18" w:space="1" w:color="auto"/>
                <w:left w:val="single" w:sz="18" w:space="4" w:color="auto"/>
                <w:bottom w:val="single" w:sz="18" w:space="1" w:color="auto"/>
                <w:right w:val="single" w:sz="18" w:space="4" w:color="auto"/>
              </w:pBdr>
              <w:overflowPunct w:val="0"/>
              <w:autoSpaceDE w:val="0"/>
              <w:autoSpaceDN w:val="0"/>
              <w:adjustRightInd w:val="0"/>
              <w:spacing w:after="0" w:line="240" w:lineRule="auto"/>
              <w:textAlignment w:val="baseline"/>
              <w:rPr>
                <w:rFonts w:ascii="Calibri" w:eastAsia="Times New Roman" w:hAnsi="Calibri" w:cs="Times New Roman"/>
                <w:b/>
                <w:sz w:val="28"/>
                <w:szCs w:val="28"/>
              </w:rPr>
            </w:pPr>
          </w:p>
        </w:tc>
      </w:tr>
      <w:tr w:rsidR="00A40A8A" w:rsidRPr="00A40A8A" w:rsidTr="00456591">
        <w:trPr>
          <w:cantSplit/>
          <w:trHeight w:val="353"/>
        </w:trPr>
        <w:tc>
          <w:tcPr>
            <w:tcW w:w="4428" w:type="dxa"/>
            <w:gridSpan w:val="2"/>
          </w:tcPr>
          <w:p w:rsidR="00A40A8A" w:rsidRPr="00A40A8A" w:rsidRDefault="00A40A8A" w:rsidP="00A40A8A">
            <w:pPr>
              <w:widowControl w:val="0"/>
              <w:overflowPunct w:val="0"/>
              <w:autoSpaceDE w:val="0"/>
              <w:autoSpaceDN w:val="0"/>
              <w:adjustRightInd w:val="0"/>
              <w:spacing w:after="0" w:line="240" w:lineRule="auto"/>
              <w:ind w:left="348"/>
              <w:textAlignment w:val="baseline"/>
              <w:rPr>
                <w:rFonts w:ascii="Calibri" w:eastAsia="Times New Roman" w:hAnsi="Calibri" w:cs="Times New Roman"/>
                <w:b/>
                <w:bCs/>
              </w:rPr>
            </w:pPr>
          </w:p>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b/>
                <w:bCs/>
                <w:u w:val="single"/>
              </w:rPr>
            </w:pPr>
            <w:r w:rsidRPr="00A40A8A">
              <w:rPr>
                <w:rFonts w:ascii="Calibri" w:eastAsia="Times New Roman" w:hAnsi="Calibri" w:cs="Times New Roman"/>
                <w:b/>
                <w:bCs/>
                <w:u w:val="single"/>
              </w:rPr>
              <w:t xml:space="preserve">Core Values </w:t>
            </w:r>
          </w:p>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b/>
                <w:bCs/>
                <w:u w:val="single"/>
              </w:rPr>
            </w:pPr>
          </w:p>
          <w:p w:rsidR="00A40A8A" w:rsidRPr="00A40A8A" w:rsidRDefault="00A40A8A" w:rsidP="00A40A8A">
            <w:pPr>
              <w:widowControl w:val="0"/>
              <w:numPr>
                <w:ilvl w:val="0"/>
                <w:numId w:val="1"/>
              </w:numPr>
              <w:overflowPunct w:val="0"/>
              <w:autoSpaceDE w:val="0"/>
              <w:autoSpaceDN w:val="0"/>
              <w:adjustRightInd w:val="0"/>
              <w:spacing w:after="0" w:line="240" w:lineRule="auto"/>
              <w:jc w:val="both"/>
              <w:textAlignment w:val="baseline"/>
              <w:rPr>
                <w:rFonts w:ascii="Calibri" w:eastAsia="Times New Roman" w:hAnsi="Calibri" w:cs="Times New Roman"/>
                <w:bCs/>
              </w:rPr>
            </w:pPr>
            <w:r w:rsidRPr="00A40A8A">
              <w:rPr>
                <w:rFonts w:ascii="Calibri" w:eastAsia="Times New Roman" w:hAnsi="Calibri" w:cs="Times New Roman"/>
                <w:bCs/>
              </w:rPr>
              <w:t xml:space="preserve">Commitment </w:t>
            </w:r>
          </w:p>
          <w:p w:rsidR="00A40A8A" w:rsidRPr="00A40A8A" w:rsidRDefault="00A40A8A" w:rsidP="00A40A8A">
            <w:pPr>
              <w:widowControl w:val="0"/>
              <w:numPr>
                <w:ilvl w:val="0"/>
                <w:numId w:val="1"/>
              </w:numPr>
              <w:overflowPunct w:val="0"/>
              <w:autoSpaceDE w:val="0"/>
              <w:autoSpaceDN w:val="0"/>
              <w:adjustRightInd w:val="0"/>
              <w:spacing w:after="0" w:line="240" w:lineRule="auto"/>
              <w:jc w:val="both"/>
              <w:textAlignment w:val="baseline"/>
              <w:rPr>
                <w:rFonts w:ascii="Calibri" w:eastAsia="Times New Roman" w:hAnsi="Calibri" w:cs="Times New Roman"/>
                <w:bCs/>
              </w:rPr>
            </w:pPr>
            <w:r w:rsidRPr="00A40A8A">
              <w:rPr>
                <w:rFonts w:ascii="Calibri" w:eastAsia="Times New Roman" w:hAnsi="Calibri" w:cs="Times New Roman"/>
                <w:bCs/>
              </w:rPr>
              <w:t>Diversity and inclusion</w:t>
            </w:r>
          </w:p>
          <w:p w:rsidR="00A40A8A" w:rsidRPr="00A40A8A" w:rsidRDefault="00A40A8A" w:rsidP="00A40A8A">
            <w:pPr>
              <w:widowControl w:val="0"/>
              <w:numPr>
                <w:ilvl w:val="0"/>
                <w:numId w:val="1"/>
              </w:numPr>
              <w:overflowPunct w:val="0"/>
              <w:autoSpaceDE w:val="0"/>
              <w:autoSpaceDN w:val="0"/>
              <w:adjustRightInd w:val="0"/>
              <w:spacing w:after="0" w:line="240" w:lineRule="auto"/>
              <w:jc w:val="both"/>
              <w:textAlignment w:val="baseline"/>
              <w:rPr>
                <w:rFonts w:ascii="Calibri" w:eastAsia="Times New Roman" w:hAnsi="Calibri" w:cs="Times New Roman"/>
                <w:bCs/>
              </w:rPr>
            </w:pPr>
            <w:r w:rsidRPr="00A40A8A">
              <w:rPr>
                <w:rFonts w:ascii="Calibri" w:eastAsia="Times New Roman" w:hAnsi="Calibri" w:cs="Times New Roman"/>
                <w:bCs/>
              </w:rPr>
              <w:t>Integrity</w:t>
            </w:r>
          </w:p>
          <w:p w:rsidR="00A40A8A" w:rsidRPr="00A40A8A" w:rsidRDefault="00A40A8A" w:rsidP="00A40A8A">
            <w:pPr>
              <w:widowControl w:val="0"/>
              <w:overflowPunct w:val="0"/>
              <w:autoSpaceDE w:val="0"/>
              <w:autoSpaceDN w:val="0"/>
              <w:adjustRightInd w:val="0"/>
              <w:spacing w:after="0" w:line="240" w:lineRule="auto"/>
              <w:ind w:left="720"/>
              <w:jc w:val="both"/>
              <w:textAlignment w:val="baseline"/>
              <w:rPr>
                <w:rFonts w:ascii="Calibri" w:eastAsia="Times New Roman" w:hAnsi="Calibri" w:cs="Times New Roman"/>
                <w:bCs/>
              </w:rPr>
            </w:pPr>
          </w:p>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b/>
                <w:bCs/>
                <w:u w:val="single"/>
              </w:rPr>
            </w:pPr>
            <w:r w:rsidRPr="00A40A8A">
              <w:rPr>
                <w:rFonts w:ascii="Calibri" w:eastAsia="Times New Roman" w:hAnsi="Calibri" w:cs="Times New Roman"/>
                <w:b/>
                <w:bCs/>
                <w:u w:val="single"/>
              </w:rPr>
              <w:t>Core competencies</w:t>
            </w:r>
          </w:p>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b/>
                <w:bCs/>
                <w:u w:val="single"/>
              </w:rPr>
            </w:pPr>
          </w:p>
          <w:p w:rsidR="00A40A8A" w:rsidRPr="00A40A8A" w:rsidRDefault="00A40A8A" w:rsidP="00A40A8A">
            <w:pPr>
              <w:widowControl w:val="0"/>
              <w:numPr>
                <w:ilvl w:val="0"/>
                <w:numId w:val="8"/>
              </w:numPr>
              <w:overflowPunct w:val="0"/>
              <w:autoSpaceDE w:val="0"/>
              <w:autoSpaceDN w:val="0"/>
              <w:adjustRightInd w:val="0"/>
              <w:spacing w:after="0" w:line="240" w:lineRule="auto"/>
              <w:jc w:val="both"/>
              <w:textAlignment w:val="baseline"/>
              <w:rPr>
                <w:rFonts w:ascii="Calibri" w:eastAsia="Times New Roman" w:hAnsi="Calibri" w:cs="Times New Roman"/>
                <w:bCs/>
              </w:rPr>
            </w:pPr>
            <w:r w:rsidRPr="00A40A8A">
              <w:rPr>
                <w:rFonts w:ascii="Calibri" w:eastAsia="Times New Roman" w:hAnsi="Calibri" w:cs="Times New Roman"/>
                <w:bCs/>
              </w:rPr>
              <w:t>Communication (II)</w:t>
            </w:r>
          </w:p>
          <w:p w:rsidR="00A40A8A" w:rsidRPr="00A40A8A" w:rsidRDefault="00A40A8A" w:rsidP="00A40A8A">
            <w:pPr>
              <w:widowControl w:val="0"/>
              <w:numPr>
                <w:ilvl w:val="0"/>
                <w:numId w:val="8"/>
              </w:numPr>
              <w:overflowPunct w:val="0"/>
              <w:autoSpaceDE w:val="0"/>
              <w:autoSpaceDN w:val="0"/>
              <w:adjustRightInd w:val="0"/>
              <w:spacing w:after="0" w:line="240" w:lineRule="auto"/>
              <w:jc w:val="both"/>
              <w:textAlignment w:val="baseline"/>
              <w:rPr>
                <w:rFonts w:ascii="Calibri" w:eastAsia="Times New Roman" w:hAnsi="Calibri" w:cs="Times New Roman"/>
                <w:bCs/>
              </w:rPr>
            </w:pPr>
            <w:r w:rsidRPr="00A40A8A">
              <w:rPr>
                <w:rFonts w:ascii="Calibri" w:eastAsia="Times New Roman" w:hAnsi="Calibri" w:cs="Times New Roman"/>
                <w:bCs/>
              </w:rPr>
              <w:t>Working with people (I)</w:t>
            </w:r>
          </w:p>
          <w:p w:rsidR="00A40A8A" w:rsidRPr="00A40A8A" w:rsidRDefault="00A40A8A" w:rsidP="00A40A8A">
            <w:pPr>
              <w:widowControl w:val="0"/>
              <w:numPr>
                <w:ilvl w:val="0"/>
                <w:numId w:val="8"/>
              </w:numPr>
              <w:overflowPunct w:val="0"/>
              <w:autoSpaceDE w:val="0"/>
              <w:autoSpaceDN w:val="0"/>
              <w:adjustRightInd w:val="0"/>
              <w:spacing w:after="0" w:line="240" w:lineRule="auto"/>
              <w:jc w:val="both"/>
              <w:textAlignment w:val="baseline"/>
              <w:rPr>
                <w:rFonts w:ascii="Calibri" w:eastAsia="Times New Roman" w:hAnsi="Calibri" w:cs="Times New Roman"/>
                <w:bCs/>
              </w:rPr>
            </w:pPr>
            <w:r w:rsidRPr="00A40A8A">
              <w:rPr>
                <w:rFonts w:ascii="Calibri" w:eastAsia="Times New Roman" w:hAnsi="Calibri" w:cs="Times New Roman"/>
                <w:bCs/>
              </w:rPr>
              <w:t>Drive for results (I)</w:t>
            </w:r>
          </w:p>
          <w:p w:rsidR="00A40A8A" w:rsidRPr="00A40A8A" w:rsidRDefault="00A40A8A" w:rsidP="00A40A8A">
            <w:pPr>
              <w:widowControl w:val="0"/>
              <w:overflowPunct w:val="0"/>
              <w:autoSpaceDE w:val="0"/>
              <w:autoSpaceDN w:val="0"/>
              <w:adjustRightInd w:val="0"/>
              <w:spacing w:after="0" w:line="240" w:lineRule="auto"/>
              <w:ind w:left="720"/>
              <w:jc w:val="both"/>
              <w:textAlignment w:val="baseline"/>
              <w:rPr>
                <w:rFonts w:ascii="Calibri" w:eastAsia="Times New Roman" w:hAnsi="Calibri" w:cs="Times New Roman"/>
                <w:bCs/>
              </w:rPr>
            </w:pPr>
          </w:p>
        </w:tc>
        <w:tc>
          <w:tcPr>
            <w:tcW w:w="5490" w:type="dxa"/>
            <w:gridSpan w:val="2"/>
          </w:tcPr>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rPr>
            </w:pPr>
            <w:r w:rsidRPr="00A40A8A">
              <w:rPr>
                <w:rFonts w:ascii="Calibri" w:eastAsia="Times New Roman" w:hAnsi="Calibri" w:cs="Times New Roman"/>
                <w:b/>
                <w:bCs/>
                <w:u w:val="single"/>
              </w:rPr>
              <w:t>Functional Competencies</w:t>
            </w:r>
            <w:r w:rsidRPr="00A40A8A">
              <w:rPr>
                <w:rFonts w:ascii="Calibri" w:eastAsia="Times New Roman" w:hAnsi="Calibri" w:cs="Times New Roman"/>
              </w:rPr>
              <w:t>:</w:t>
            </w:r>
          </w:p>
          <w:p w:rsidR="00A40A8A" w:rsidRPr="00A40A8A" w:rsidRDefault="00A40A8A" w:rsidP="00A40A8A">
            <w:pPr>
              <w:widowControl w:val="0"/>
              <w:overflowPunct w:val="0"/>
              <w:autoSpaceDE w:val="0"/>
              <w:autoSpaceDN w:val="0"/>
              <w:adjustRightInd w:val="0"/>
              <w:spacing w:after="0" w:line="240" w:lineRule="auto"/>
              <w:jc w:val="both"/>
              <w:textAlignment w:val="baseline"/>
              <w:rPr>
                <w:rFonts w:ascii="Calibri" w:eastAsia="Times New Roman" w:hAnsi="Calibri" w:cs="Times New Roman"/>
              </w:rPr>
            </w:pPr>
          </w:p>
          <w:p w:rsidR="00A40A8A" w:rsidRPr="00A40A8A" w:rsidRDefault="00A40A8A" w:rsidP="00A40A8A">
            <w:pPr>
              <w:widowControl w:val="0"/>
              <w:numPr>
                <w:ilvl w:val="0"/>
                <w:numId w:val="9"/>
              </w:numPr>
              <w:overflowPunct w:val="0"/>
              <w:autoSpaceDE w:val="0"/>
              <w:autoSpaceDN w:val="0"/>
              <w:adjustRightInd w:val="0"/>
              <w:spacing w:after="0" w:line="240" w:lineRule="auto"/>
              <w:jc w:val="both"/>
              <w:textAlignment w:val="baseline"/>
              <w:rPr>
                <w:rFonts w:ascii="Calibri" w:eastAsia="Times New Roman" w:hAnsi="Calibri" w:cs="Times New Roman"/>
              </w:rPr>
            </w:pPr>
            <w:r w:rsidRPr="00A40A8A">
              <w:rPr>
                <w:rFonts w:ascii="Calibri" w:eastAsia="Times New Roman" w:hAnsi="Calibri" w:cs="Times New Roman"/>
              </w:rPr>
              <w:t>Formulating strategies and concepts (I)</w:t>
            </w:r>
          </w:p>
          <w:p w:rsidR="00A40A8A" w:rsidRPr="00A40A8A" w:rsidRDefault="00A40A8A" w:rsidP="00A40A8A">
            <w:pPr>
              <w:widowControl w:val="0"/>
              <w:numPr>
                <w:ilvl w:val="0"/>
                <w:numId w:val="9"/>
              </w:numPr>
              <w:overflowPunct w:val="0"/>
              <w:autoSpaceDE w:val="0"/>
              <w:autoSpaceDN w:val="0"/>
              <w:adjustRightInd w:val="0"/>
              <w:spacing w:after="0" w:line="240" w:lineRule="auto"/>
              <w:jc w:val="both"/>
              <w:textAlignment w:val="baseline"/>
              <w:rPr>
                <w:rFonts w:ascii="Calibri" w:eastAsia="Times New Roman" w:hAnsi="Calibri" w:cs="Times New Roman"/>
              </w:rPr>
            </w:pPr>
            <w:proofErr w:type="spellStart"/>
            <w:r w:rsidRPr="00A40A8A">
              <w:rPr>
                <w:rFonts w:ascii="Calibri" w:eastAsia="Times New Roman" w:hAnsi="Calibri" w:cs="Times New Roman"/>
              </w:rPr>
              <w:t>Analyzing</w:t>
            </w:r>
            <w:proofErr w:type="spellEnd"/>
            <w:r w:rsidRPr="00A40A8A">
              <w:rPr>
                <w:rFonts w:ascii="Calibri" w:eastAsia="Times New Roman" w:hAnsi="Calibri" w:cs="Times New Roman"/>
              </w:rPr>
              <w:t xml:space="preserve"> (II)</w:t>
            </w:r>
          </w:p>
          <w:p w:rsidR="00A40A8A" w:rsidRPr="00A40A8A" w:rsidRDefault="00A40A8A" w:rsidP="00A40A8A">
            <w:pPr>
              <w:widowControl w:val="0"/>
              <w:numPr>
                <w:ilvl w:val="0"/>
                <w:numId w:val="9"/>
              </w:numPr>
              <w:overflowPunct w:val="0"/>
              <w:autoSpaceDE w:val="0"/>
              <w:autoSpaceDN w:val="0"/>
              <w:adjustRightInd w:val="0"/>
              <w:spacing w:after="0" w:line="240" w:lineRule="auto"/>
              <w:jc w:val="both"/>
              <w:textAlignment w:val="baseline"/>
              <w:rPr>
                <w:rFonts w:ascii="Calibri" w:eastAsia="Times New Roman" w:hAnsi="Calibri" w:cs="Times New Roman"/>
              </w:rPr>
            </w:pPr>
            <w:r w:rsidRPr="00A40A8A">
              <w:rPr>
                <w:rFonts w:ascii="Calibri" w:eastAsia="Times New Roman" w:hAnsi="Calibri" w:cs="Times New Roman"/>
              </w:rPr>
              <w:t>Applying technical expertise (II)</w:t>
            </w:r>
          </w:p>
          <w:p w:rsidR="00A40A8A" w:rsidRPr="00A40A8A" w:rsidRDefault="00A40A8A" w:rsidP="00A40A8A">
            <w:pPr>
              <w:widowControl w:val="0"/>
              <w:numPr>
                <w:ilvl w:val="0"/>
                <w:numId w:val="9"/>
              </w:numPr>
              <w:overflowPunct w:val="0"/>
              <w:autoSpaceDE w:val="0"/>
              <w:autoSpaceDN w:val="0"/>
              <w:adjustRightInd w:val="0"/>
              <w:spacing w:after="0" w:line="240" w:lineRule="auto"/>
              <w:jc w:val="both"/>
              <w:textAlignment w:val="baseline"/>
              <w:rPr>
                <w:rFonts w:ascii="Calibri" w:eastAsia="Times New Roman" w:hAnsi="Calibri" w:cs="Times New Roman"/>
              </w:rPr>
            </w:pPr>
            <w:r w:rsidRPr="00A40A8A">
              <w:rPr>
                <w:rFonts w:ascii="Calibri" w:eastAsia="Times New Roman" w:hAnsi="Calibri" w:cs="Times New Roman"/>
              </w:rPr>
              <w:t>Learning and researching (II)</w:t>
            </w:r>
          </w:p>
          <w:p w:rsidR="00A40A8A" w:rsidRPr="00A40A8A" w:rsidRDefault="00A40A8A" w:rsidP="00A40A8A">
            <w:pPr>
              <w:widowControl w:val="0"/>
              <w:numPr>
                <w:ilvl w:val="0"/>
                <w:numId w:val="9"/>
              </w:numPr>
              <w:overflowPunct w:val="0"/>
              <w:autoSpaceDE w:val="0"/>
              <w:autoSpaceDN w:val="0"/>
              <w:adjustRightInd w:val="0"/>
              <w:spacing w:after="0" w:line="240" w:lineRule="auto"/>
              <w:jc w:val="both"/>
              <w:textAlignment w:val="baseline"/>
              <w:rPr>
                <w:rFonts w:ascii="Calibri" w:eastAsia="Times New Roman" w:hAnsi="Calibri" w:cs="Times New Roman"/>
              </w:rPr>
            </w:pPr>
            <w:r w:rsidRPr="00A40A8A">
              <w:rPr>
                <w:rFonts w:ascii="Calibri" w:eastAsia="Times New Roman" w:hAnsi="Calibri" w:cs="Times New Roman"/>
              </w:rPr>
              <w:t>Planning and organizing (II)</w:t>
            </w:r>
          </w:p>
          <w:p w:rsidR="00A40A8A" w:rsidRPr="00A40A8A" w:rsidRDefault="00A40A8A" w:rsidP="00A40A8A">
            <w:pPr>
              <w:widowControl w:val="0"/>
              <w:overflowPunct w:val="0"/>
              <w:autoSpaceDE w:val="0"/>
              <w:autoSpaceDN w:val="0"/>
              <w:adjustRightInd w:val="0"/>
              <w:spacing w:after="0" w:line="240" w:lineRule="auto"/>
              <w:ind w:left="720"/>
              <w:jc w:val="both"/>
              <w:textAlignment w:val="baseline"/>
              <w:rPr>
                <w:rFonts w:ascii="Calibri" w:eastAsia="Times New Roman" w:hAnsi="Calibri" w:cs="Times New Roman"/>
              </w:rPr>
            </w:pPr>
          </w:p>
        </w:tc>
      </w:tr>
      <w:tr w:rsidR="00A40A8A" w:rsidRPr="00A40A8A" w:rsidTr="00456591">
        <w:tc>
          <w:tcPr>
            <w:tcW w:w="9918" w:type="dxa"/>
            <w:gridSpan w:val="4"/>
            <w:shd w:val="clear" w:color="auto" w:fill="E0E0E0"/>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sz w:val="28"/>
                <w:szCs w:val="28"/>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sz w:val="28"/>
                <w:szCs w:val="28"/>
              </w:rPr>
            </w:pPr>
            <w:r w:rsidRPr="00A40A8A">
              <w:rPr>
                <w:rFonts w:ascii="Calibri" w:eastAsia="Times New Roman" w:hAnsi="Calibri" w:cs="Times New Roman"/>
                <w:b/>
                <w:sz w:val="28"/>
                <w:szCs w:val="28"/>
              </w:rPr>
              <w:t>VI. Recruitment Qualifications</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sz w:val="28"/>
                <w:szCs w:val="28"/>
              </w:rPr>
            </w:pPr>
          </w:p>
        </w:tc>
      </w:tr>
      <w:tr w:rsidR="00A40A8A" w:rsidRPr="00A40A8A" w:rsidTr="00456591">
        <w:trPr>
          <w:trHeight w:val="230"/>
        </w:trPr>
        <w:tc>
          <w:tcPr>
            <w:tcW w:w="2889" w:type="dxa"/>
            <w:tcBorders>
              <w:bottom w:val="single" w:sz="4" w:space="0" w:color="auto"/>
            </w:tcBorders>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Education:</w:t>
            </w:r>
          </w:p>
        </w:tc>
        <w:tc>
          <w:tcPr>
            <w:tcW w:w="7029" w:type="dxa"/>
            <w:gridSpan w:val="3"/>
            <w:tcBorders>
              <w:bottom w:val="single" w:sz="4" w:space="0" w:color="auto"/>
            </w:tcBorders>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 xml:space="preserve">University degree in public health, social sciences, </w:t>
            </w:r>
            <w:proofErr w:type="spellStart"/>
            <w:r w:rsidRPr="00A40A8A">
              <w:rPr>
                <w:rFonts w:ascii="Calibri" w:eastAsia="Times New Roman" w:hAnsi="Calibri" w:cs="Times New Roman"/>
              </w:rPr>
              <w:t>behavior</w:t>
            </w:r>
            <w:proofErr w:type="spellEnd"/>
            <w:r w:rsidRPr="00A40A8A">
              <w:rPr>
                <w:rFonts w:ascii="Calibri" w:eastAsia="Times New Roman" w:hAnsi="Calibri" w:cs="Times New Roman"/>
              </w:rPr>
              <w:t xml:space="preserve"> change communication, sanitary engineering or other specialist field related to WASH is required.</w:t>
            </w:r>
            <w:r w:rsidR="00057B87">
              <w:rPr>
                <w:rFonts w:ascii="Calibri" w:eastAsia="Times New Roman" w:hAnsi="Calibri" w:cs="Times New Roman"/>
              </w:rPr>
              <w:t xml:space="preserve"> Additional relevant post-graduate courses that complement/supplement the main degree are a strong asset.</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tc>
      </w:tr>
      <w:tr w:rsidR="00A40A8A" w:rsidRPr="00A40A8A" w:rsidTr="00456591">
        <w:trPr>
          <w:trHeight w:val="230"/>
        </w:trPr>
        <w:tc>
          <w:tcPr>
            <w:tcW w:w="2889" w:type="dxa"/>
            <w:tcBorders>
              <w:bottom w:val="single" w:sz="4" w:space="0" w:color="auto"/>
            </w:tcBorders>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Experience:</w:t>
            </w:r>
          </w:p>
        </w:tc>
        <w:tc>
          <w:tcPr>
            <w:tcW w:w="7029" w:type="dxa"/>
            <w:gridSpan w:val="3"/>
            <w:tcBorders>
              <w:bottom w:val="single" w:sz="4" w:space="0" w:color="auto"/>
            </w:tcBorders>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8414E">
              <w:rPr>
                <w:rFonts w:ascii="Calibri" w:eastAsia="Times New Roman" w:hAnsi="Calibri" w:cs="Times New Roman"/>
                <w:b/>
                <w:bCs/>
              </w:rPr>
              <w:t>DEVELOPMENTAL:</w:t>
            </w:r>
            <w:r w:rsidRPr="00A40A8A">
              <w:rPr>
                <w:rFonts w:ascii="Calibri" w:eastAsia="Times New Roman" w:hAnsi="Calibri" w:cs="Times New Roman"/>
              </w:rPr>
              <w:t xml:space="preserve">  a minimum of </w:t>
            </w:r>
            <w:r w:rsidRPr="00C72279">
              <w:rPr>
                <w:rFonts w:ascii="Calibri" w:eastAsia="Times New Roman" w:hAnsi="Calibri" w:cs="Times New Roman"/>
              </w:rPr>
              <w:t xml:space="preserve">two years </w:t>
            </w:r>
            <w:r w:rsidRPr="00A40A8A">
              <w:rPr>
                <w:rFonts w:ascii="Calibri" w:eastAsia="Times New Roman" w:hAnsi="Calibri" w:cs="Times New Roman"/>
              </w:rPr>
              <w:t>of professional work experience in WASH-related programmes</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8414E">
              <w:rPr>
                <w:rFonts w:ascii="Calibri" w:eastAsia="Times New Roman" w:hAnsi="Calibri" w:cs="Times New Roman"/>
                <w:b/>
                <w:bCs/>
              </w:rPr>
              <w:t>HUMANITARIAN:</w:t>
            </w:r>
            <w:r w:rsidRPr="00A40A8A">
              <w:rPr>
                <w:rFonts w:ascii="Calibri" w:eastAsia="Times New Roman" w:hAnsi="Calibri" w:cs="Times New Roman"/>
              </w:rPr>
              <w:t xml:space="preserve"> a minimum of </w:t>
            </w:r>
            <w:r w:rsidRPr="00C72279">
              <w:rPr>
                <w:rFonts w:ascii="Calibri" w:eastAsia="Times New Roman" w:hAnsi="Calibri" w:cs="Times New Roman"/>
              </w:rPr>
              <w:t xml:space="preserve">two years </w:t>
            </w:r>
            <w:r w:rsidRPr="00A40A8A">
              <w:rPr>
                <w:rFonts w:ascii="Calibri" w:eastAsia="Times New Roman" w:hAnsi="Calibri" w:cs="Times New Roman"/>
              </w:rPr>
              <w:t>of experiences in humanitarian assistance</w:t>
            </w:r>
          </w:p>
          <w:p w:rsidR="0018396F" w:rsidRDefault="0018396F"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18396F" w:rsidRPr="00C72279" w:rsidRDefault="0018396F" w:rsidP="0018396F">
            <w:pPr>
              <w:widowControl w:val="0"/>
              <w:overflowPunct w:val="0"/>
              <w:autoSpaceDE w:val="0"/>
              <w:autoSpaceDN w:val="0"/>
              <w:adjustRightInd w:val="0"/>
              <w:spacing w:after="0" w:line="240" w:lineRule="auto"/>
              <w:textAlignment w:val="baseline"/>
              <w:rPr>
                <w:rFonts w:ascii="Calibri" w:eastAsia="Times New Roman" w:hAnsi="Calibri" w:cs="Times New Roman"/>
                <w:b/>
                <w:bCs/>
              </w:rPr>
            </w:pPr>
            <w:r w:rsidRPr="00C72279">
              <w:rPr>
                <w:rFonts w:ascii="Calibri" w:eastAsia="Times New Roman" w:hAnsi="Calibri" w:cs="Times New Roman"/>
                <w:b/>
                <w:bCs/>
              </w:rPr>
              <w:t>Advantageous Experience:</w:t>
            </w:r>
          </w:p>
          <w:p w:rsidR="0018396F" w:rsidRPr="00C72279" w:rsidRDefault="0018396F" w:rsidP="0018396F">
            <w:pPr>
              <w:pStyle w:val="ListParagraph"/>
              <w:widowControl w:val="0"/>
              <w:numPr>
                <w:ilvl w:val="0"/>
                <w:numId w:val="21"/>
              </w:numPr>
              <w:overflowPunct w:val="0"/>
              <w:autoSpaceDE w:val="0"/>
              <w:autoSpaceDN w:val="0"/>
              <w:adjustRightInd w:val="0"/>
              <w:spacing w:after="0" w:line="240" w:lineRule="auto"/>
              <w:textAlignment w:val="baseline"/>
              <w:rPr>
                <w:rFonts w:ascii="Calibri" w:eastAsia="Times New Roman" w:hAnsi="Calibri" w:cs="Times New Roman"/>
              </w:rPr>
            </w:pPr>
            <w:r w:rsidRPr="00C72279">
              <w:rPr>
                <w:rFonts w:ascii="Calibri" w:eastAsia="Times New Roman" w:hAnsi="Calibri" w:cs="Times New Roman"/>
              </w:rPr>
              <w:t xml:space="preserve">Previous UN work </w:t>
            </w:r>
          </w:p>
          <w:p w:rsidR="0018396F" w:rsidRPr="00C72279" w:rsidRDefault="0018396F" w:rsidP="0018396F">
            <w:pPr>
              <w:pStyle w:val="ListParagraph"/>
              <w:widowControl w:val="0"/>
              <w:numPr>
                <w:ilvl w:val="0"/>
                <w:numId w:val="21"/>
              </w:numPr>
              <w:overflowPunct w:val="0"/>
              <w:autoSpaceDE w:val="0"/>
              <w:autoSpaceDN w:val="0"/>
              <w:adjustRightInd w:val="0"/>
              <w:spacing w:after="0" w:line="240" w:lineRule="auto"/>
              <w:textAlignment w:val="baseline"/>
              <w:rPr>
                <w:rFonts w:ascii="Calibri" w:eastAsia="Times New Roman" w:hAnsi="Calibri" w:cs="Times New Roman"/>
              </w:rPr>
            </w:pPr>
            <w:r w:rsidRPr="00C72279">
              <w:rPr>
                <w:rFonts w:ascii="Calibri" w:eastAsia="Times New Roman" w:hAnsi="Calibri" w:cs="Times New Roman"/>
              </w:rPr>
              <w:t xml:space="preserve">Previous work in complex emergencies in Kachin, Rakhine and/or Shan </w:t>
            </w:r>
          </w:p>
          <w:p w:rsidR="0018396F" w:rsidRPr="00C72279" w:rsidRDefault="0018396F" w:rsidP="0018396F">
            <w:pPr>
              <w:pStyle w:val="ListParagraph"/>
              <w:widowControl w:val="0"/>
              <w:numPr>
                <w:ilvl w:val="0"/>
                <w:numId w:val="21"/>
              </w:numPr>
              <w:overflowPunct w:val="0"/>
              <w:autoSpaceDE w:val="0"/>
              <w:autoSpaceDN w:val="0"/>
              <w:adjustRightInd w:val="0"/>
              <w:spacing w:after="0" w:line="240" w:lineRule="auto"/>
              <w:textAlignment w:val="baseline"/>
              <w:rPr>
                <w:rFonts w:ascii="Calibri" w:eastAsia="Times New Roman" w:hAnsi="Calibri" w:cs="Times New Roman"/>
              </w:rPr>
            </w:pPr>
            <w:r w:rsidRPr="00C72279">
              <w:rPr>
                <w:rFonts w:ascii="Calibri" w:eastAsia="Times New Roman" w:hAnsi="Calibri" w:cs="Times New Roman"/>
              </w:rPr>
              <w:t>Previous work as part of WASH Cluster</w:t>
            </w:r>
          </w:p>
          <w:p w:rsidR="00A8414E" w:rsidRPr="0018396F" w:rsidRDefault="00A8414E" w:rsidP="0018396F">
            <w:pPr>
              <w:widowControl w:val="0"/>
              <w:overflowPunct w:val="0"/>
              <w:autoSpaceDE w:val="0"/>
              <w:autoSpaceDN w:val="0"/>
              <w:adjustRightInd w:val="0"/>
              <w:spacing w:after="0" w:line="240" w:lineRule="auto"/>
              <w:textAlignment w:val="baseline"/>
              <w:rPr>
                <w:rFonts w:ascii="Calibri" w:eastAsia="Times New Roman" w:hAnsi="Calibri" w:cs="Times New Roman"/>
              </w:rPr>
            </w:pPr>
          </w:p>
        </w:tc>
      </w:tr>
      <w:tr w:rsidR="00A40A8A" w:rsidRPr="00A40A8A" w:rsidTr="00456591">
        <w:trPr>
          <w:trHeight w:val="230"/>
        </w:trPr>
        <w:tc>
          <w:tcPr>
            <w:tcW w:w="2889" w:type="dxa"/>
            <w:tcBorders>
              <w:bottom w:val="single" w:sz="4" w:space="0" w:color="auto"/>
            </w:tcBorders>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Language Requirements:</w:t>
            </w:r>
          </w:p>
        </w:tc>
        <w:tc>
          <w:tcPr>
            <w:tcW w:w="7029" w:type="dxa"/>
            <w:gridSpan w:val="3"/>
            <w:tcBorders>
              <w:bottom w:val="single" w:sz="4" w:space="0" w:color="auto"/>
            </w:tcBorders>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Arial"/>
              </w:rPr>
            </w:pPr>
            <w:r w:rsidRPr="00A40A8A">
              <w:rPr>
                <w:rFonts w:ascii="Calibri" w:eastAsia="Times New Roman" w:hAnsi="Calibri" w:cs="Arial"/>
              </w:rPr>
              <w:t>Oral and written proficiency in English and Myanmar languages is required.  Knowledge of another official UN language or a local (regional or state) language is an asset.</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Arial"/>
              </w:rPr>
            </w:pPr>
          </w:p>
        </w:tc>
      </w:tr>
      <w:tr w:rsidR="00A40A8A" w:rsidRPr="00A40A8A" w:rsidTr="00456591">
        <w:tc>
          <w:tcPr>
            <w:tcW w:w="9918" w:type="dxa"/>
            <w:gridSpan w:val="4"/>
            <w:shd w:val="clear" w:color="auto" w:fill="E0E0E0"/>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sz w:val="28"/>
                <w:szCs w:val="28"/>
              </w:rPr>
            </w:pP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sz w:val="28"/>
                <w:szCs w:val="28"/>
              </w:rPr>
            </w:pPr>
            <w:r w:rsidRPr="00A40A8A">
              <w:rPr>
                <w:rFonts w:ascii="Calibri" w:eastAsia="Times New Roman" w:hAnsi="Calibri" w:cs="Times New Roman"/>
                <w:b/>
                <w:sz w:val="28"/>
                <w:szCs w:val="28"/>
              </w:rPr>
              <w:t>VII. Technical requirements</w:t>
            </w:r>
          </w:p>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b/>
                <w:sz w:val="28"/>
                <w:szCs w:val="28"/>
              </w:rPr>
            </w:pPr>
          </w:p>
        </w:tc>
      </w:tr>
      <w:tr w:rsidR="00A40A8A" w:rsidRPr="00A40A8A" w:rsidTr="00456591">
        <w:trPr>
          <w:trHeight w:val="230"/>
        </w:trPr>
        <w:tc>
          <w:tcPr>
            <w:tcW w:w="7038" w:type="dxa"/>
            <w:gridSpan w:val="3"/>
            <w:tcBorders>
              <w:bottom w:val="single" w:sz="4" w:space="0" w:color="auto"/>
            </w:tcBorders>
          </w:tcPr>
          <w:p w:rsidR="00A40A8A" w:rsidRPr="00A40A8A" w:rsidRDefault="00A40A8A" w:rsidP="00A40A8A">
            <w:pPr>
              <w:widowControl w:val="0"/>
              <w:numPr>
                <w:ilvl w:val="0"/>
                <w:numId w:val="14"/>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Rural water supply for low- and middle-income countries - including water safety, sustainability</w:t>
            </w:r>
          </w:p>
          <w:p w:rsidR="00A40A8A" w:rsidRPr="00A40A8A" w:rsidRDefault="00A40A8A" w:rsidP="00A40A8A">
            <w:pPr>
              <w:widowControl w:val="0"/>
              <w:numPr>
                <w:ilvl w:val="0"/>
                <w:numId w:val="14"/>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 xml:space="preserve">Rural sanitation for low- and middle-income countries, </w:t>
            </w:r>
            <w:proofErr w:type="spellStart"/>
            <w:r w:rsidRPr="00A40A8A">
              <w:rPr>
                <w:rFonts w:ascii="Calibri" w:eastAsia="Times New Roman" w:hAnsi="Calibri" w:cs="Times New Roman"/>
              </w:rPr>
              <w:t>incl</w:t>
            </w:r>
            <w:proofErr w:type="spellEnd"/>
            <w:r w:rsidRPr="00A40A8A">
              <w:rPr>
                <w:rFonts w:ascii="Calibri" w:eastAsia="Times New Roman" w:hAnsi="Calibri" w:cs="Times New Roman"/>
              </w:rPr>
              <w:t xml:space="preserve"> sustainability; applying CATS principles</w:t>
            </w:r>
          </w:p>
          <w:p w:rsidR="00A40A8A" w:rsidRPr="00A40A8A" w:rsidRDefault="00A40A8A" w:rsidP="00A40A8A">
            <w:pPr>
              <w:widowControl w:val="0"/>
              <w:numPr>
                <w:ilvl w:val="0"/>
                <w:numId w:val="14"/>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 xml:space="preserve">Urban sanitation for low- and middle-income countries, </w:t>
            </w:r>
            <w:proofErr w:type="spellStart"/>
            <w:r w:rsidRPr="00A40A8A">
              <w:rPr>
                <w:rFonts w:ascii="Calibri" w:eastAsia="Times New Roman" w:hAnsi="Calibri" w:cs="Times New Roman"/>
              </w:rPr>
              <w:t>incl</w:t>
            </w:r>
            <w:proofErr w:type="spellEnd"/>
            <w:r w:rsidRPr="00A40A8A">
              <w:rPr>
                <w:rFonts w:ascii="Calibri" w:eastAsia="Times New Roman" w:hAnsi="Calibri" w:cs="Times New Roman"/>
              </w:rPr>
              <w:t xml:space="preserve"> sustainability</w:t>
            </w:r>
          </w:p>
          <w:p w:rsidR="00A40A8A" w:rsidRPr="00A40A8A" w:rsidRDefault="00A40A8A" w:rsidP="00A40A8A">
            <w:pPr>
              <w:widowControl w:val="0"/>
              <w:numPr>
                <w:ilvl w:val="0"/>
                <w:numId w:val="14"/>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Handwashing with soap</w:t>
            </w:r>
          </w:p>
          <w:p w:rsidR="00A40A8A" w:rsidRPr="00A40A8A" w:rsidRDefault="00A40A8A" w:rsidP="00A40A8A">
            <w:pPr>
              <w:widowControl w:val="0"/>
              <w:numPr>
                <w:ilvl w:val="0"/>
                <w:numId w:val="14"/>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WASH-in-Schools and Health Centres</w:t>
            </w:r>
          </w:p>
          <w:p w:rsidR="00A40A8A" w:rsidRPr="00A40A8A" w:rsidRDefault="00A40A8A" w:rsidP="00A40A8A">
            <w:pPr>
              <w:widowControl w:val="0"/>
              <w:numPr>
                <w:ilvl w:val="0"/>
                <w:numId w:val="14"/>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Menstrual hygiene management</w:t>
            </w:r>
          </w:p>
          <w:p w:rsidR="00A40A8A" w:rsidRPr="00A40A8A" w:rsidRDefault="00A40A8A" w:rsidP="00A40A8A">
            <w:pPr>
              <w:widowControl w:val="0"/>
              <w:numPr>
                <w:ilvl w:val="0"/>
                <w:numId w:val="14"/>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National government WASH policies, plans and strategies</w:t>
            </w:r>
          </w:p>
          <w:p w:rsidR="00A40A8A" w:rsidRPr="00A40A8A" w:rsidRDefault="00A40A8A" w:rsidP="00A40A8A">
            <w:pPr>
              <w:widowControl w:val="0"/>
              <w:numPr>
                <w:ilvl w:val="0"/>
                <w:numId w:val="14"/>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Analysis of national budgets and expenditure for basic WASH, and related advocacy</w:t>
            </w:r>
          </w:p>
        </w:tc>
        <w:tc>
          <w:tcPr>
            <w:tcW w:w="2880" w:type="dxa"/>
            <w:tcBorders>
              <w:bottom w:val="single" w:sz="4" w:space="0" w:color="auto"/>
            </w:tcBorders>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Basic knowledge of six of the eight components</w:t>
            </w:r>
          </w:p>
        </w:tc>
      </w:tr>
      <w:tr w:rsidR="00A40A8A" w:rsidRPr="00A40A8A" w:rsidTr="00456591">
        <w:trPr>
          <w:trHeight w:val="230"/>
        </w:trPr>
        <w:tc>
          <w:tcPr>
            <w:tcW w:w="7038" w:type="dxa"/>
            <w:gridSpan w:val="3"/>
            <w:tcBorders>
              <w:bottom w:val="single" w:sz="4" w:space="0" w:color="auto"/>
            </w:tcBorders>
          </w:tcPr>
          <w:p w:rsidR="00A40A8A" w:rsidRPr="00A40A8A" w:rsidRDefault="00A40A8A" w:rsidP="00A40A8A">
            <w:pPr>
              <w:widowControl w:val="0"/>
              <w:numPr>
                <w:ilvl w:val="0"/>
                <w:numId w:val="15"/>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Humanitarian WASH - preparedness</w:t>
            </w:r>
          </w:p>
          <w:p w:rsidR="00A40A8A" w:rsidRDefault="00A40A8A" w:rsidP="00A40A8A">
            <w:pPr>
              <w:widowControl w:val="0"/>
              <w:numPr>
                <w:ilvl w:val="0"/>
                <w:numId w:val="15"/>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Humanitarian WASH - response and recovery</w:t>
            </w:r>
          </w:p>
          <w:p w:rsidR="00984C06" w:rsidRPr="00A40A8A" w:rsidRDefault="00984C06" w:rsidP="00A40A8A">
            <w:pPr>
              <w:widowControl w:val="0"/>
              <w:numPr>
                <w:ilvl w:val="0"/>
                <w:numId w:val="15"/>
              </w:numPr>
              <w:overflowPunct w:val="0"/>
              <w:autoSpaceDE w:val="0"/>
              <w:autoSpaceDN w:val="0"/>
              <w:adjustRightInd w:val="0"/>
              <w:spacing w:after="0" w:line="240" w:lineRule="auto"/>
              <w:textAlignment w:val="baseline"/>
              <w:rPr>
                <w:rFonts w:ascii="Calibri" w:eastAsia="Times New Roman" w:hAnsi="Calibri" w:cs="Times New Roman"/>
              </w:rPr>
            </w:pPr>
            <w:r w:rsidRPr="00C72279">
              <w:rPr>
                <w:rFonts w:ascii="Calibri" w:eastAsia="Times New Roman" w:hAnsi="Calibri" w:cs="Times New Roman"/>
              </w:rPr>
              <w:t>Humanitarian WASH - coordination</w:t>
            </w:r>
          </w:p>
        </w:tc>
        <w:tc>
          <w:tcPr>
            <w:tcW w:w="2880" w:type="dxa"/>
            <w:tcBorders>
              <w:bottom w:val="single" w:sz="4" w:space="0" w:color="auto"/>
            </w:tcBorders>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Basic knowledge of one component</w:t>
            </w:r>
          </w:p>
        </w:tc>
      </w:tr>
      <w:tr w:rsidR="00A40A8A" w:rsidRPr="00A40A8A" w:rsidTr="00456591">
        <w:trPr>
          <w:trHeight w:val="230"/>
        </w:trPr>
        <w:tc>
          <w:tcPr>
            <w:tcW w:w="7038" w:type="dxa"/>
            <w:gridSpan w:val="3"/>
          </w:tcPr>
          <w:p w:rsidR="00A40A8A" w:rsidRPr="00A40A8A" w:rsidRDefault="00A40A8A" w:rsidP="00A40A8A">
            <w:pPr>
              <w:widowControl w:val="0"/>
              <w:numPr>
                <w:ilvl w:val="0"/>
                <w:numId w:val="16"/>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Programme/project management</w:t>
            </w:r>
          </w:p>
          <w:p w:rsidR="00A40A8A" w:rsidRPr="00A40A8A" w:rsidRDefault="00A40A8A" w:rsidP="00A40A8A">
            <w:pPr>
              <w:widowControl w:val="0"/>
              <w:numPr>
                <w:ilvl w:val="0"/>
                <w:numId w:val="16"/>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Capacity development</w:t>
            </w:r>
          </w:p>
          <w:p w:rsidR="00A40A8A" w:rsidRPr="00A40A8A" w:rsidRDefault="00A40A8A" w:rsidP="00A40A8A">
            <w:pPr>
              <w:widowControl w:val="0"/>
              <w:numPr>
                <w:ilvl w:val="0"/>
                <w:numId w:val="16"/>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Knowledge management</w:t>
            </w:r>
          </w:p>
          <w:p w:rsidR="00A40A8A" w:rsidRPr="00A40A8A" w:rsidRDefault="00A40A8A" w:rsidP="00A40A8A">
            <w:pPr>
              <w:widowControl w:val="0"/>
              <w:numPr>
                <w:ilvl w:val="0"/>
                <w:numId w:val="16"/>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Monitoring and evaluation</w:t>
            </w:r>
          </w:p>
        </w:tc>
        <w:tc>
          <w:tcPr>
            <w:tcW w:w="2880" w:type="dxa"/>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Arial"/>
              </w:rPr>
            </w:pPr>
            <w:r w:rsidRPr="00A40A8A">
              <w:rPr>
                <w:rFonts w:ascii="Calibri" w:eastAsia="Times New Roman" w:hAnsi="Calibri" w:cs="Arial"/>
              </w:rPr>
              <w:t>Basic knowledge of all four components</w:t>
            </w:r>
          </w:p>
        </w:tc>
      </w:tr>
      <w:tr w:rsidR="00A40A8A" w:rsidRPr="00A40A8A" w:rsidTr="00456591">
        <w:trPr>
          <w:trHeight w:val="230"/>
        </w:trPr>
        <w:tc>
          <w:tcPr>
            <w:tcW w:w="7038" w:type="dxa"/>
            <w:gridSpan w:val="3"/>
            <w:tcBorders>
              <w:bottom w:val="single" w:sz="4" w:space="0" w:color="auto"/>
            </w:tcBorders>
          </w:tcPr>
          <w:p w:rsidR="00A40A8A" w:rsidRPr="00A40A8A" w:rsidRDefault="00A40A8A" w:rsidP="00A40A8A">
            <w:pPr>
              <w:widowControl w:val="0"/>
              <w:numPr>
                <w:ilvl w:val="0"/>
                <w:numId w:val="17"/>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Human rights and WASH</w:t>
            </w:r>
          </w:p>
          <w:p w:rsidR="00A40A8A" w:rsidRPr="00A40A8A" w:rsidRDefault="00A40A8A" w:rsidP="00A40A8A">
            <w:pPr>
              <w:widowControl w:val="0"/>
              <w:numPr>
                <w:ilvl w:val="0"/>
                <w:numId w:val="17"/>
              </w:numPr>
              <w:overflowPunct w:val="0"/>
              <w:autoSpaceDE w:val="0"/>
              <w:autoSpaceDN w:val="0"/>
              <w:adjustRightInd w:val="0"/>
              <w:spacing w:after="0" w:line="240" w:lineRule="auto"/>
              <w:textAlignment w:val="baseline"/>
              <w:rPr>
                <w:rFonts w:ascii="Calibri" w:eastAsia="Times New Roman" w:hAnsi="Calibri" w:cs="Times New Roman"/>
              </w:rPr>
            </w:pPr>
            <w:r w:rsidRPr="00A40A8A">
              <w:rPr>
                <w:rFonts w:ascii="Calibri" w:eastAsia="Times New Roman" w:hAnsi="Calibri" w:cs="Times New Roman"/>
              </w:rPr>
              <w:t>Gender equality and WASH</w:t>
            </w:r>
          </w:p>
        </w:tc>
        <w:tc>
          <w:tcPr>
            <w:tcW w:w="2880" w:type="dxa"/>
            <w:tcBorders>
              <w:bottom w:val="single" w:sz="4" w:space="0" w:color="auto"/>
            </w:tcBorders>
          </w:tcPr>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Arial"/>
              </w:rPr>
            </w:pPr>
            <w:r w:rsidRPr="00A40A8A">
              <w:rPr>
                <w:rFonts w:ascii="Calibri" w:eastAsia="Times New Roman" w:hAnsi="Calibri" w:cs="Arial"/>
              </w:rPr>
              <w:t>Basic knowledge</w:t>
            </w:r>
          </w:p>
        </w:tc>
      </w:tr>
      <w:tr w:rsidR="00A40A8A" w:rsidRPr="00A40A8A" w:rsidTr="00C72279">
        <w:trPr>
          <w:trHeight w:val="230"/>
        </w:trPr>
        <w:tc>
          <w:tcPr>
            <w:tcW w:w="9918" w:type="dxa"/>
            <w:gridSpan w:val="4"/>
            <w:tcBorders>
              <w:bottom w:val="single" w:sz="4" w:space="0" w:color="auto"/>
            </w:tcBorders>
            <w:vAlign w:val="center"/>
          </w:tcPr>
          <w:p w:rsidR="00A40A8A" w:rsidRPr="00C72279" w:rsidRDefault="00A40A8A" w:rsidP="00C72279">
            <w:pPr>
              <w:pStyle w:val="ListParagraph"/>
              <w:widowControl w:val="0"/>
              <w:numPr>
                <w:ilvl w:val="0"/>
                <w:numId w:val="20"/>
              </w:numPr>
              <w:overflowPunct w:val="0"/>
              <w:autoSpaceDE w:val="0"/>
              <w:autoSpaceDN w:val="0"/>
              <w:adjustRightInd w:val="0"/>
              <w:spacing w:after="0" w:line="240" w:lineRule="auto"/>
              <w:textAlignment w:val="baseline"/>
              <w:rPr>
                <w:rFonts w:ascii="Calibri" w:eastAsia="Times New Roman" w:hAnsi="Calibri" w:cs="Times New Roman"/>
              </w:rPr>
            </w:pPr>
            <w:r w:rsidRPr="00C72279">
              <w:rPr>
                <w:rFonts w:ascii="Calibri" w:eastAsia="Times New Roman" w:hAnsi="Calibri" w:cs="Times New Roman"/>
              </w:rPr>
              <w:t>Support WASH related capacity building for Government Departments including at township level</w:t>
            </w:r>
          </w:p>
          <w:p w:rsidR="00A40A8A" w:rsidRPr="00C72279" w:rsidRDefault="00A40A8A" w:rsidP="00C72279">
            <w:pPr>
              <w:pStyle w:val="ListParagraph"/>
              <w:widowControl w:val="0"/>
              <w:numPr>
                <w:ilvl w:val="0"/>
                <w:numId w:val="20"/>
              </w:numPr>
              <w:overflowPunct w:val="0"/>
              <w:autoSpaceDE w:val="0"/>
              <w:autoSpaceDN w:val="0"/>
              <w:adjustRightInd w:val="0"/>
              <w:spacing w:after="0" w:line="240" w:lineRule="auto"/>
              <w:textAlignment w:val="baseline"/>
              <w:rPr>
                <w:rFonts w:ascii="Calibri" w:eastAsia="Times New Roman" w:hAnsi="Calibri" w:cs="Times New Roman"/>
              </w:rPr>
            </w:pPr>
            <w:r w:rsidRPr="00C72279">
              <w:rPr>
                <w:rFonts w:ascii="Calibri" w:eastAsia="Times New Roman" w:hAnsi="Calibri" w:cs="Times New Roman"/>
              </w:rPr>
              <w:t xml:space="preserve">Support technical assistance – WASH technical working groups </w:t>
            </w:r>
          </w:p>
          <w:p w:rsidR="00A40A8A" w:rsidRPr="00A40A8A" w:rsidRDefault="00A40A8A" w:rsidP="00C72279">
            <w:pPr>
              <w:pStyle w:val="ListParagraph"/>
              <w:widowControl w:val="0"/>
              <w:numPr>
                <w:ilvl w:val="0"/>
                <w:numId w:val="20"/>
              </w:numPr>
              <w:overflowPunct w:val="0"/>
              <w:autoSpaceDE w:val="0"/>
              <w:autoSpaceDN w:val="0"/>
              <w:adjustRightInd w:val="0"/>
              <w:spacing w:after="0" w:line="240" w:lineRule="auto"/>
              <w:textAlignment w:val="baseline"/>
              <w:rPr>
                <w:rFonts w:ascii="Calibri" w:eastAsia="Times New Roman" w:hAnsi="Calibri" w:cs="Arial"/>
              </w:rPr>
            </w:pPr>
            <w:r w:rsidRPr="00C72279">
              <w:rPr>
                <w:rFonts w:ascii="Calibri" w:eastAsia="Times New Roman" w:hAnsi="Calibri" w:cs="Times New Roman"/>
              </w:rPr>
              <w:t>Support WASH cluster partners with minimum preparedness plan</w:t>
            </w:r>
          </w:p>
        </w:tc>
      </w:tr>
    </w:tbl>
    <w:p w:rsidR="00A40A8A" w:rsidRPr="00A40A8A" w:rsidRDefault="00A40A8A" w:rsidP="00A40A8A">
      <w:pPr>
        <w:widowControl w:val="0"/>
        <w:overflowPunct w:val="0"/>
        <w:autoSpaceDE w:val="0"/>
        <w:autoSpaceDN w:val="0"/>
        <w:adjustRightInd w:val="0"/>
        <w:spacing w:after="0" w:line="240" w:lineRule="auto"/>
        <w:textAlignment w:val="baseline"/>
        <w:rPr>
          <w:rFonts w:ascii="Calibri" w:eastAsia="Times New Roman" w:hAnsi="Calibri" w:cs="Times New Roman"/>
        </w:rPr>
      </w:pPr>
    </w:p>
    <w:p w:rsidR="00A40A8A" w:rsidRPr="00A40A8A" w:rsidRDefault="00A40A8A" w:rsidP="00A40A8A">
      <w:pPr>
        <w:tabs>
          <w:tab w:val="left" w:pos="-1170"/>
        </w:tabs>
        <w:overflowPunct w:val="0"/>
        <w:autoSpaceDE w:val="0"/>
        <w:autoSpaceDN w:val="0"/>
        <w:adjustRightInd w:val="0"/>
        <w:spacing w:after="0" w:line="240" w:lineRule="auto"/>
        <w:ind w:right="90"/>
        <w:textAlignment w:val="baseline"/>
        <w:rPr>
          <w:rFonts w:ascii="Calibri" w:eastAsia="Times New Roman" w:hAnsi="Calibri" w:cs="Times New Roman"/>
        </w:rPr>
      </w:pPr>
    </w:p>
    <w:p w:rsidR="00A40A8A" w:rsidRPr="00A40A8A" w:rsidRDefault="00A40A8A" w:rsidP="00A40A8A">
      <w:pPr>
        <w:tabs>
          <w:tab w:val="left" w:pos="-1170"/>
        </w:tabs>
        <w:overflowPunct w:val="0"/>
        <w:autoSpaceDE w:val="0"/>
        <w:autoSpaceDN w:val="0"/>
        <w:adjustRightInd w:val="0"/>
        <w:spacing w:after="0" w:line="240" w:lineRule="auto"/>
        <w:ind w:right="90"/>
        <w:textAlignment w:val="baseline"/>
        <w:rPr>
          <w:rFonts w:ascii="Times New Roman" w:eastAsia="Times New Roman" w:hAnsi="Times New Roman" w:cs="Times New Roman"/>
          <w:sz w:val="24"/>
          <w:szCs w:val="20"/>
        </w:rPr>
      </w:pPr>
    </w:p>
    <w:p w:rsidR="00A40A8A" w:rsidRPr="00A40A8A" w:rsidRDefault="00A40A8A" w:rsidP="00A40A8A">
      <w:pPr>
        <w:tabs>
          <w:tab w:val="left" w:pos="-1170"/>
        </w:tabs>
        <w:overflowPunct w:val="0"/>
        <w:autoSpaceDE w:val="0"/>
        <w:autoSpaceDN w:val="0"/>
        <w:adjustRightInd w:val="0"/>
        <w:spacing w:after="0" w:line="240" w:lineRule="auto"/>
        <w:ind w:right="90"/>
        <w:textAlignment w:val="baseline"/>
        <w:rPr>
          <w:rFonts w:ascii="Times New Roman" w:eastAsia="Times New Roman" w:hAnsi="Times New Roman" w:cs="Times New Roman"/>
          <w:sz w:val="24"/>
          <w:szCs w:val="20"/>
        </w:rPr>
      </w:pPr>
    </w:p>
    <w:p w:rsidR="00A40A8A" w:rsidRDefault="00A40A8A">
      <w:pPr>
        <w:rPr>
          <w:rFonts w:ascii="Times New Roman" w:hAnsi="Times New Roman" w:cs="Times New Roman"/>
          <w:sz w:val="24"/>
          <w:szCs w:val="24"/>
        </w:rPr>
      </w:pPr>
    </w:p>
    <w:p w:rsidR="00B964E0" w:rsidRPr="00B964E0" w:rsidRDefault="00B964E0">
      <w:pPr>
        <w:rPr>
          <w:rFonts w:ascii="Times New Roman" w:hAnsi="Times New Roman" w:cs="Times New Roman"/>
          <w:sz w:val="24"/>
          <w:szCs w:val="24"/>
        </w:rPr>
      </w:pPr>
    </w:p>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F0FF2"/>
    <w:multiLevelType w:val="hybridMultilevel"/>
    <w:tmpl w:val="F3D4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C090A"/>
    <w:multiLevelType w:val="hybridMultilevel"/>
    <w:tmpl w:val="06C88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E5807"/>
    <w:multiLevelType w:val="hybridMultilevel"/>
    <w:tmpl w:val="F244BBC4"/>
    <w:lvl w:ilvl="0" w:tplc="07CEDB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3A22E6"/>
    <w:multiLevelType w:val="hybridMultilevel"/>
    <w:tmpl w:val="1868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82D66"/>
    <w:multiLevelType w:val="hybridMultilevel"/>
    <w:tmpl w:val="257EB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22F19"/>
    <w:multiLevelType w:val="hybridMultilevel"/>
    <w:tmpl w:val="0E20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301C9A"/>
    <w:multiLevelType w:val="hybridMultilevel"/>
    <w:tmpl w:val="E0141A00"/>
    <w:lvl w:ilvl="0" w:tplc="F782FA94">
      <w:start w:val="1"/>
      <w:numFmt w:val="decimal"/>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10"/>
  </w:num>
  <w:num w:numId="4">
    <w:abstractNumId w:val="8"/>
  </w:num>
  <w:num w:numId="5">
    <w:abstractNumId w:val="12"/>
  </w:num>
  <w:num w:numId="6">
    <w:abstractNumId w:val="11"/>
  </w:num>
  <w:num w:numId="7">
    <w:abstractNumId w:val="16"/>
  </w:num>
  <w:num w:numId="8">
    <w:abstractNumId w:val="7"/>
  </w:num>
  <w:num w:numId="9">
    <w:abstractNumId w:val="2"/>
  </w:num>
  <w:num w:numId="10">
    <w:abstractNumId w:val="14"/>
  </w:num>
  <w:num w:numId="11">
    <w:abstractNumId w:val="6"/>
  </w:num>
  <w:num w:numId="12">
    <w:abstractNumId w:val="13"/>
  </w:num>
  <w:num w:numId="13">
    <w:abstractNumId w:val="0"/>
  </w:num>
  <w:num w:numId="14">
    <w:abstractNumId w:val="17"/>
  </w:num>
  <w:num w:numId="15">
    <w:abstractNumId w:val="20"/>
  </w:num>
  <w:num w:numId="16">
    <w:abstractNumId w:val="18"/>
  </w:num>
  <w:num w:numId="17">
    <w:abstractNumId w:val="9"/>
  </w:num>
  <w:num w:numId="18">
    <w:abstractNumId w:val="5"/>
  </w:num>
  <w:num w:numId="19">
    <w:abstractNumId w:val="1"/>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8A"/>
    <w:rsid w:val="00057B87"/>
    <w:rsid w:val="00121978"/>
    <w:rsid w:val="0018396F"/>
    <w:rsid w:val="00193D2E"/>
    <w:rsid w:val="003263CA"/>
    <w:rsid w:val="003B4F01"/>
    <w:rsid w:val="003E28BC"/>
    <w:rsid w:val="00502516"/>
    <w:rsid w:val="00511F7E"/>
    <w:rsid w:val="00523C94"/>
    <w:rsid w:val="00984C06"/>
    <w:rsid w:val="00A40A8A"/>
    <w:rsid w:val="00A8414E"/>
    <w:rsid w:val="00B964E0"/>
    <w:rsid w:val="00BE4BA3"/>
    <w:rsid w:val="00C72279"/>
    <w:rsid w:val="00DF7522"/>
    <w:rsid w:val="00F344DE"/>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FE94-56EE-46B8-AD68-77081669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8A"/>
    <w:pPr>
      <w:ind w:left="720"/>
      <w:contextualSpacing/>
    </w:pPr>
  </w:style>
  <w:style w:type="paragraph" w:styleId="BalloonText">
    <w:name w:val="Balloon Text"/>
    <w:basedOn w:val="Normal"/>
    <w:link w:val="BalloonTextChar"/>
    <w:uiPriority w:val="99"/>
    <w:semiHidden/>
    <w:unhideWhenUsed/>
    <w:rsid w:val="00984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Sandi Aung</dc:creator>
  <cp:keywords/>
  <dc:description/>
  <cp:lastModifiedBy>Charlie Thompson</cp:lastModifiedBy>
  <cp:revision>2</cp:revision>
  <cp:lastPrinted>2018-03-30T09:46:00Z</cp:lastPrinted>
  <dcterms:created xsi:type="dcterms:W3CDTF">2018-04-11T20:55:00Z</dcterms:created>
  <dcterms:modified xsi:type="dcterms:W3CDTF">2018-04-11T20:55:00Z</dcterms:modified>
</cp:coreProperties>
</file>