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EACA6" w14:textId="17FF37D5" w:rsidR="006430B5" w:rsidRDefault="002C5E8E" w:rsidP="00397121">
      <w:pPr>
        <w:jc w:val="center"/>
        <w:rPr>
          <w:b/>
          <w:caps/>
        </w:rPr>
      </w:pPr>
      <w:r w:rsidRPr="002C5E8E">
        <w:rPr>
          <w:b/>
          <w:caps/>
          <w:noProof/>
        </w:rPr>
        <w:drawing>
          <wp:anchor distT="0" distB="0" distL="114300" distR="114300" simplePos="0" relativeHeight="251660288" behindDoc="0" locked="0" layoutInCell="1" allowOverlap="1" wp14:anchorId="025A8CE3" wp14:editId="6F4DD8BF">
            <wp:simplePos x="0" y="0"/>
            <wp:positionH relativeFrom="column">
              <wp:posOffset>4518660</wp:posOffset>
            </wp:positionH>
            <wp:positionV relativeFrom="paragraph">
              <wp:posOffset>-77470</wp:posOffset>
            </wp:positionV>
            <wp:extent cx="1381125" cy="433070"/>
            <wp:effectExtent l="0" t="0" r="9525" b="5080"/>
            <wp:wrapNone/>
            <wp:docPr id="5" name="Picture 4" descr="PPIAF : Enabling Infrastructure Investment"/>
            <wp:cNvGraphicFramePr/>
            <a:graphic xmlns:a="http://schemas.openxmlformats.org/drawingml/2006/main">
              <a:graphicData uri="http://schemas.openxmlformats.org/drawingml/2006/picture">
                <pic:pic xmlns:pic="http://schemas.openxmlformats.org/drawingml/2006/picture">
                  <pic:nvPicPr>
                    <pic:cNvPr id="5" name="Picture 4" descr="PPIAF : Enabling Infrastructure Investment"/>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81125" cy="4330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2C5E8E">
        <w:rPr>
          <w:b/>
          <w:caps/>
          <w:noProof/>
        </w:rPr>
        <w:drawing>
          <wp:anchor distT="0" distB="0" distL="114300" distR="114300" simplePos="0" relativeHeight="251659264" behindDoc="0" locked="0" layoutInCell="1" allowOverlap="1" wp14:anchorId="2CD34CD5" wp14:editId="0D652428">
            <wp:simplePos x="0" y="0"/>
            <wp:positionH relativeFrom="column">
              <wp:posOffset>47625</wp:posOffset>
            </wp:positionH>
            <wp:positionV relativeFrom="paragraph">
              <wp:posOffset>0</wp:posOffset>
            </wp:positionV>
            <wp:extent cx="1760220" cy="356870"/>
            <wp:effectExtent l="0" t="0" r="0" b="5080"/>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0220" cy="35687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14:paraId="7D4ED030" w14:textId="77777777" w:rsidR="002C5E8E" w:rsidRDefault="002C5E8E" w:rsidP="00397121">
      <w:pPr>
        <w:jc w:val="center"/>
        <w:rPr>
          <w:b/>
          <w:caps/>
        </w:rPr>
      </w:pPr>
    </w:p>
    <w:p w14:paraId="497BC2A5" w14:textId="77777777" w:rsidR="002C5E8E" w:rsidRDefault="002C5E8E" w:rsidP="00397121">
      <w:pPr>
        <w:jc w:val="center"/>
        <w:rPr>
          <w:b/>
          <w:caps/>
        </w:rPr>
      </w:pPr>
    </w:p>
    <w:p w14:paraId="18810310" w14:textId="77777777" w:rsidR="007C75D4" w:rsidRPr="00C03FB7" w:rsidRDefault="007C75D4" w:rsidP="00397121">
      <w:pPr>
        <w:jc w:val="center"/>
        <w:rPr>
          <w:b/>
          <w:caps/>
        </w:rPr>
      </w:pPr>
    </w:p>
    <w:p w14:paraId="3C922D4F" w14:textId="6006BBB3" w:rsidR="00397121" w:rsidRPr="00C03FB7" w:rsidRDefault="00322124" w:rsidP="00397121">
      <w:pPr>
        <w:jc w:val="center"/>
        <w:rPr>
          <w:b/>
          <w:caps/>
        </w:rPr>
      </w:pPr>
      <w:r>
        <w:rPr>
          <w:b/>
          <w:caps/>
        </w:rPr>
        <w:t>Terms of reference</w:t>
      </w:r>
    </w:p>
    <w:p w14:paraId="4EE0F468" w14:textId="77777777" w:rsidR="00397121" w:rsidRPr="00C03FB7" w:rsidRDefault="00397121" w:rsidP="00397121">
      <w:pPr>
        <w:rPr>
          <w:b/>
        </w:rPr>
      </w:pPr>
    </w:p>
    <w:p w14:paraId="7CD7CD6F" w14:textId="5CA3CD52" w:rsidR="00104915" w:rsidRPr="00104915" w:rsidRDefault="00322124" w:rsidP="00104915">
      <w:pPr>
        <w:tabs>
          <w:tab w:val="left" w:pos="2880"/>
        </w:tabs>
        <w:autoSpaceDE w:val="0"/>
        <w:autoSpaceDN w:val="0"/>
        <w:adjustRightInd w:val="0"/>
        <w:ind w:left="2880" w:hanging="2880"/>
        <w:rPr>
          <w:rFonts w:cs="Arial"/>
          <w:b/>
          <w:color w:val="000000"/>
        </w:rPr>
      </w:pPr>
      <w:r>
        <w:rPr>
          <w:b/>
        </w:rPr>
        <w:t>Project/Assignment Title</w:t>
      </w:r>
      <w:r w:rsidR="00397121" w:rsidRPr="00C03FB7">
        <w:rPr>
          <w:b/>
        </w:rPr>
        <w:t>:</w:t>
      </w:r>
      <w:r w:rsidR="00397121" w:rsidRPr="00C03FB7">
        <w:rPr>
          <w:b/>
        </w:rPr>
        <w:tab/>
      </w:r>
      <w:r w:rsidR="00725699">
        <w:rPr>
          <w:b/>
        </w:rPr>
        <w:t>Program Analyst</w:t>
      </w:r>
      <w:r w:rsidR="00BD64A6">
        <w:rPr>
          <w:b/>
        </w:rPr>
        <w:t xml:space="preserve"> for</w:t>
      </w:r>
      <w:r w:rsidR="004960C6">
        <w:rPr>
          <w:b/>
        </w:rPr>
        <w:t xml:space="preserve"> Water PPP</w:t>
      </w:r>
      <w:r w:rsidR="00007CF3">
        <w:rPr>
          <w:b/>
        </w:rPr>
        <w:t xml:space="preserve"> </w:t>
      </w:r>
      <w:r w:rsidR="007C75D4">
        <w:rPr>
          <w:b/>
        </w:rPr>
        <w:t>Program</w:t>
      </w:r>
      <w:r w:rsidR="002C5E8E">
        <w:rPr>
          <w:b/>
        </w:rPr>
        <w:t xml:space="preserve"> on </w:t>
      </w:r>
      <w:r w:rsidR="00104915" w:rsidRPr="00104915">
        <w:rPr>
          <w:rFonts w:cs="Arial"/>
          <w:b/>
          <w:color w:val="000000"/>
        </w:rPr>
        <w:t>Good Practices for Performance-Based Contract in Non-Revenue Water Management</w:t>
      </w:r>
    </w:p>
    <w:p w14:paraId="48ED457F" w14:textId="1B59DFB9" w:rsidR="003A5287" w:rsidRDefault="003A5287" w:rsidP="004436A6">
      <w:pPr>
        <w:tabs>
          <w:tab w:val="left" w:pos="2880"/>
        </w:tabs>
        <w:ind w:left="2880" w:hanging="2880"/>
        <w:rPr>
          <w:b/>
        </w:rPr>
      </w:pPr>
      <w:r>
        <w:rPr>
          <w:b/>
        </w:rPr>
        <w:t>Task Team Leader:</w:t>
      </w:r>
      <w:r w:rsidR="004436A6">
        <w:rPr>
          <w:b/>
        </w:rPr>
        <w:tab/>
      </w:r>
      <w:r w:rsidR="002C5E8E">
        <w:rPr>
          <w:b/>
        </w:rPr>
        <w:t>Gerard Soppe, Senior Water and Sanitation Specialist</w:t>
      </w:r>
      <w:r w:rsidR="00763835">
        <w:rPr>
          <w:b/>
        </w:rPr>
        <w:t xml:space="preserve"> and Jemima Sy</w:t>
      </w:r>
    </w:p>
    <w:p w14:paraId="25C5D882" w14:textId="028FA26F" w:rsidR="005E7696" w:rsidRDefault="005E7696" w:rsidP="00397121">
      <w:pPr>
        <w:rPr>
          <w:b/>
        </w:rPr>
      </w:pPr>
      <w:r>
        <w:rPr>
          <w:b/>
        </w:rPr>
        <w:t>Manager:</w:t>
      </w:r>
      <w:r>
        <w:rPr>
          <w:b/>
        </w:rPr>
        <w:tab/>
      </w:r>
      <w:r>
        <w:rPr>
          <w:b/>
        </w:rPr>
        <w:tab/>
      </w:r>
      <w:r>
        <w:rPr>
          <w:b/>
        </w:rPr>
        <w:tab/>
      </w:r>
      <w:r w:rsidR="00763835">
        <w:rPr>
          <w:b/>
        </w:rPr>
        <w:t>Jyoti Shukla</w:t>
      </w:r>
      <w:r w:rsidR="00601166">
        <w:rPr>
          <w:b/>
        </w:rPr>
        <w:t xml:space="preserve">, </w:t>
      </w:r>
      <w:r>
        <w:rPr>
          <w:b/>
        </w:rPr>
        <w:t>Program Manager</w:t>
      </w:r>
    </w:p>
    <w:p w14:paraId="3EF5470F" w14:textId="495B18ED" w:rsidR="00397121" w:rsidRDefault="00397121" w:rsidP="00397121">
      <w:pPr>
        <w:rPr>
          <w:b/>
        </w:rPr>
      </w:pPr>
      <w:r w:rsidRPr="00C03FB7">
        <w:rPr>
          <w:b/>
        </w:rPr>
        <w:t>Department</w:t>
      </w:r>
      <w:r w:rsidR="005E7696">
        <w:rPr>
          <w:b/>
        </w:rPr>
        <w:t>/Division</w:t>
      </w:r>
      <w:r w:rsidRPr="00C03FB7">
        <w:rPr>
          <w:b/>
        </w:rPr>
        <w:t>:</w:t>
      </w:r>
      <w:r w:rsidRPr="00C03FB7">
        <w:rPr>
          <w:b/>
        </w:rPr>
        <w:tab/>
      </w:r>
      <w:r w:rsidR="005E7696">
        <w:rPr>
          <w:b/>
        </w:rPr>
        <w:tab/>
      </w:r>
      <w:r w:rsidR="002C5E8E">
        <w:rPr>
          <w:b/>
        </w:rPr>
        <w:t>GWADR</w:t>
      </w:r>
      <w:r w:rsidR="005E7696">
        <w:rPr>
          <w:b/>
        </w:rPr>
        <w:t xml:space="preserve"> (</w:t>
      </w:r>
      <w:r w:rsidR="002C5E8E">
        <w:rPr>
          <w:b/>
        </w:rPr>
        <w:t>Water Global Practice</w:t>
      </w:r>
      <w:r w:rsidR="005E7696">
        <w:rPr>
          <w:b/>
        </w:rPr>
        <w:t>)</w:t>
      </w:r>
    </w:p>
    <w:p w14:paraId="447DBC0E" w14:textId="6E7019DA" w:rsidR="005E7696" w:rsidRPr="00C03FB7" w:rsidRDefault="005E7696" w:rsidP="005E7696">
      <w:pPr>
        <w:rPr>
          <w:b/>
        </w:rPr>
      </w:pPr>
      <w:r w:rsidRPr="00C03FB7">
        <w:rPr>
          <w:b/>
        </w:rPr>
        <w:t xml:space="preserve">Location: </w:t>
      </w:r>
      <w:r w:rsidRPr="00C03FB7">
        <w:rPr>
          <w:b/>
        </w:rPr>
        <w:tab/>
      </w:r>
      <w:r w:rsidRPr="00C03FB7">
        <w:rPr>
          <w:b/>
        </w:rPr>
        <w:tab/>
      </w:r>
      <w:r w:rsidRPr="00C03FB7">
        <w:rPr>
          <w:b/>
        </w:rPr>
        <w:tab/>
      </w:r>
      <w:r w:rsidR="00725699">
        <w:rPr>
          <w:b/>
        </w:rPr>
        <w:t>Washington, DC</w:t>
      </w:r>
    </w:p>
    <w:p w14:paraId="6FFC0154" w14:textId="2115C335" w:rsidR="005E7696" w:rsidRDefault="00E912D3" w:rsidP="00E912D3">
      <w:pPr>
        <w:tabs>
          <w:tab w:val="left" w:pos="2880"/>
        </w:tabs>
        <w:ind w:left="2880" w:hanging="2880"/>
        <w:rPr>
          <w:b/>
        </w:rPr>
      </w:pPr>
      <w:r>
        <w:rPr>
          <w:b/>
        </w:rPr>
        <w:t>Appointment Type:</w:t>
      </w:r>
      <w:r>
        <w:rPr>
          <w:b/>
        </w:rPr>
        <w:tab/>
      </w:r>
      <w:r w:rsidR="00725699">
        <w:rPr>
          <w:b/>
        </w:rPr>
        <w:t>Individual</w:t>
      </w:r>
    </w:p>
    <w:p w14:paraId="172B4062" w14:textId="4DAF8FAD" w:rsidR="005E7696" w:rsidRDefault="00322124" w:rsidP="00763835">
      <w:pPr>
        <w:ind w:left="2880" w:hanging="2880"/>
        <w:rPr>
          <w:b/>
        </w:rPr>
      </w:pPr>
      <w:r>
        <w:rPr>
          <w:b/>
        </w:rPr>
        <w:t>Date of Assignment</w:t>
      </w:r>
      <w:r w:rsidR="005E7696">
        <w:rPr>
          <w:b/>
        </w:rPr>
        <w:t>:</w:t>
      </w:r>
      <w:r w:rsidR="005E7696">
        <w:rPr>
          <w:b/>
        </w:rPr>
        <w:tab/>
      </w:r>
      <w:r w:rsidR="00763835">
        <w:rPr>
          <w:b/>
        </w:rPr>
        <w:t xml:space="preserve">2 </w:t>
      </w:r>
      <w:r w:rsidR="005E7696">
        <w:rPr>
          <w:b/>
        </w:rPr>
        <w:t xml:space="preserve">years starting </w:t>
      </w:r>
      <w:r w:rsidR="004960C6">
        <w:rPr>
          <w:b/>
        </w:rPr>
        <w:t>18</w:t>
      </w:r>
      <w:bookmarkStart w:id="0" w:name="_GoBack"/>
      <w:bookmarkEnd w:id="0"/>
      <w:r w:rsidR="00763835">
        <w:rPr>
          <w:b/>
        </w:rPr>
        <w:t xml:space="preserve"> </w:t>
      </w:r>
      <w:proofErr w:type="gramStart"/>
      <w:r w:rsidR="00763835">
        <w:rPr>
          <w:b/>
        </w:rPr>
        <w:t xml:space="preserve">July </w:t>
      </w:r>
      <w:r w:rsidR="00725699">
        <w:rPr>
          <w:b/>
        </w:rPr>
        <w:t xml:space="preserve"> 2016</w:t>
      </w:r>
      <w:proofErr w:type="gramEnd"/>
      <w:r w:rsidR="005E7696">
        <w:rPr>
          <w:b/>
        </w:rPr>
        <w:t xml:space="preserve"> to </w:t>
      </w:r>
      <w:r w:rsidR="00763835">
        <w:rPr>
          <w:b/>
        </w:rPr>
        <w:t>30 June 2018</w:t>
      </w:r>
    </w:p>
    <w:p w14:paraId="38A81557" w14:textId="66E7F381" w:rsidR="00322124" w:rsidRPr="0057689D" w:rsidRDefault="00322124" w:rsidP="00322124">
      <w:pPr>
        <w:rPr>
          <w:b/>
        </w:rPr>
      </w:pPr>
      <w:r w:rsidRPr="0057689D">
        <w:rPr>
          <w:b/>
        </w:rPr>
        <w:t xml:space="preserve">International Recruitment: </w:t>
      </w:r>
      <w:r w:rsidRPr="0057689D">
        <w:rPr>
          <w:b/>
        </w:rPr>
        <w:tab/>
      </w:r>
      <w:r w:rsidR="00763835" w:rsidRPr="0057689D">
        <w:rPr>
          <w:b/>
        </w:rPr>
        <w:sym w:font="Wingdings" w:char="F06F"/>
      </w:r>
      <w:r w:rsidR="00763835" w:rsidRPr="0057689D">
        <w:rPr>
          <w:b/>
        </w:rPr>
        <w:t xml:space="preserve"> </w:t>
      </w:r>
      <w:r w:rsidRPr="0057689D">
        <w:rPr>
          <w:b/>
        </w:rPr>
        <w:t xml:space="preserve">   yes</w:t>
      </w:r>
      <w:r w:rsidRPr="0057689D">
        <w:rPr>
          <w:b/>
        </w:rPr>
        <w:tab/>
      </w:r>
      <w:r w:rsidRPr="0057689D">
        <w:rPr>
          <w:b/>
        </w:rPr>
        <w:tab/>
      </w:r>
      <w:r w:rsidR="00763835">
        <w:rPr>
          <w:b/>
        </w:rPr>
        <w:t>x</w:t>
      </w:r>
      <w:r w:rsidR="00763835" w:rsidRPr="0057689D">
        <w:rPr>
          <w:b/>
        </w:rPr>
        <w:t xml:space="preserve">   </w:t>
      </w:r>
      <w:r w:rsidRPr="0057689D">
        <w:rPr>
          <w:b/>
        </w:rPr>
        <w:t>no</w:t>
      </w:r>
    </w:p>
    <w:p w14:paraId="3BF8422B" w14:textId="77777777" w:rsidR="005E7696" w:rsidRDefault="005E7696" w:rsidP="00397121">
      <w:pPr>
        <w:rPr>
          <w:b/>
        </w:rPr>
      </w:pPr>
    </w:p>
    <w:p w14:paraId="74130F7C" w14:textId="77777777" w:rsidR="00397121" w:rsidRPr="00C03FB7" w:rsidRDefault="00397121" w:rsidP="00397121">
      <w:pPr>
        <w:rPr>
          <w:b/>
        </w:rPr>
      </w:pPr>
    </w:p>
    <w:tbl>
      <w:tblPr>
        <w:tblStyle w:val="TableGrid"/>
        <w:tblW w:w="9350" w:type="dxa"/>
        <w:jc w:val="center"/>
        <w:tblLook w:val="04A0" w:firstRow="1" w:lastRow="0" w:firstColumn="1" w:lastColumn="0" w:noHBand="0" w:noVBand="1"/>
      </w:tblPr>
      <w:tblGrid>
        <w:gridCol w:w="9350"/>
      </w:tblGrid>
      <w:tr w:rsidR="00397121" w:rsidRPr="00C03FB7" w14:paraId="399C85F8" w14:textId="77777777" w:rsidTr="00322124">
        <w:trPr>
          <w:trHeight w:val="1160"/>
          <w:jc w:val="center"/>
        </w:trPr>
        <w:tc>
          <w:tcPr>
            <w:tcW w:w="9350" w:type="dxa"/>
          </w:tcPr>
          <w:p w14:paraId="1A45F119" w14:textId="304EA646" w:rsidR="00397121" w:rsidRPr="00C03FB7" w:rsidRDefault="00397121" w:rsidP="00397121">
            <w:pPr>
              <w:pStyle w:val="ListParagraph"/>
              <w:numPr>
                <w:ilvl w:val="0"/>
                <w:numId w:val="1"/>
              </w:numPr>
              <w:ind w:left="365"/>
              <w:rPr>
                <w:rFonts w:cs="Arial"/>
                <w:b/>
                <w:caps/>
              </w:rPr>
            </w:pPr>
            <w:r w:rsidRPr="00C03FB7">
              <w:rPr>
                <w:rFonts w:cs="Arial"/>
                <w:b/>
                <w:caps/>
              </w:rPr>
              <w:t>Background and Objectives</w:t>
            </w:r>
          </w:p>
          <w:p w14:paraId="083F190A" w14:textId="77777777" w:rsidR="00397121" w:rsidRPr="00C03FB7" w:rsidRDefault="00397121" w:rsidP="004F2E14">
            <w:pPr>
              <w:autoSpaceDE w:val="0"/>
              <w:autoSpaceDN w:val="0"/>
              <w:adjustRightInd w:val="0"/>
              <w:rPr>
                <w:rFonts w:cs="Arial"/>
                <w:color w:val="000000"/>
              </w:rPr>
            </w:pPr>
          </w:p>
          <w:p w14:paraId="77B036A6" w14:textId="33DE808A" w:rsidR="00397121" w:rsidRPr="00C03FB7" w:rsidRDefault="005F4543" w:rsidP="004F2E14">
            <w:pPr>
              <w:autoSpaceDE w:val="0"/>
              <w:autoSpaceDN w:val="0"/>
              <w:adjustRightInd w:val="0"/>
              <w:rPr>
                <w:rFonts w:cs="Arial"/>
                <w:b/>
                <w:color w:val="000000"/>
              </w:rPr>
            </w:pPr>
            <w:r>
              <w:rPr>
                <w:rFonts w:cs="Arial"/>
                <w:b/>
                <w:color w:val="000000"/>
              </w:rPr>
              <w:t>Public-Private Infrastructure Advisory Facility</w:t>
            </w:r>
          </w:p>
          <w:p w14:paraId="3E2D69FA" w14:textId="77777777" w:rsidR="00397121" w:rsidRPr="00C03FB7" w:rsidRDefault="00397121" w:rsidP="004F2E14">
            <w:pPr>
              <w:autoSpaceDE w:val="0"/>
              <w:autoSpaceDN w:val="0"/>
              <w:adjustRightInd w:val="0"/>
              <w:rPr>
                <w:rFonts w:cs="Arial"/>
                <w:color w:val="000000"/>
              </w:rPr>
            </w:pPr>
          </w:p>
          <w:p w14:paraId="239664C6" w14:textId="6938EFD9" w:rsidR="00397121" w:rsidRDefault="005F4543" w:rsidP="004F2E14">
            <w:pPr>
              <w:autoSpaceDE w:val="0"/>
              <w:autoSpaceDN w:val="0"/>
              <w:adjustRightInd w:val="0"/>
              <w:rPr>
                <w:rFonts w:cs="Arial"/>
                <w:color w:val="000000"/>
              </w:rPr>
            </w:pPr>
            <w:r w:rsidRPr="005F4543">
              <w:rPr>
                <w:rFonts w:cs="Arial"/>
                <w:color w:val="000000"/>
              </w:rPr>
              <w:t xml:space="preserve">The </w:t>
            </w:r>
            <w:hyperlink r:id="rId11" w:tgtFrame="_blank" w:history="1">
              <w:r w:rsidRPr="005F4543">
                <w:rPr>
                  <w:color w:val="000000"/>
                </w:rPr>
                <w:t>Public-Private Infrastructure Advisory Facility</w:t>
              </w:r>
            </w:hyperlink>
            <w:r w:rsidRPr="005F4543">
              <w:rPr>
                <w:rFonts w:cs="Arial"/>
                <w:color w:val="000000"/>
              </w:rPr>
              <w:t xml:space="preserve"> (PPIAF) is a multi-donor trust fund that provides technical assistance </w:t>
            </w:r>
            <w:r w:rsidR="00976A3E">
              <w:rPr>
                <w:rFonts w:cs="Arial"/>
                <w:color w:val="000000"/>
              </w:rPr>
              <w:t xml:space="preserve">(TA) </w:t>
            </w:r>
            <w:r w:rsidRPr="005F4543">
              <w:rPr>
                <w:rFonts w:cs="Arial"/>
                <w:color w:val="000000"/>
              </w:rPr>
              <w:t>to governments in developing countries in support of the enabling environment conducive to private investment, including the necessary policies, laws, regulations, institutions, and government capacity. It supports governments to develop specific infrastructure projects with private sector participation</w:t>
            </w:r>
            <w:r>
              <w:rPr>
                <w:rFonts w:cs="Arial"/>
                <w:color w:val="000000"/>
              </w:rPr>
              <w:t xml:space="preserve"> in priority </w:t>
            </w:r>
            <w:r w:rsidR="007F7489">
              <w:rPr>
                <w:rFonts w:cs="Arial"/>
                <w:color w:val="000000"/>
              </w:rPr>
              <w:t xml:space="preserve">infrastructure </w:t>
            </w:r>
            <w:r>
              <w:rPr>
                <w:rFonts w:cs="Arial"/>
                <w:color w:val="000000"/>
              </w:rPr>
              <w:t>sectors energy, transport and water</w:t>
            </w:r>
            <w:r w:rsidRPr="005F4543">
              <w:rPr>
                <w:rFonts w:cs="Arial"/>
                <w:color w:val="000000"/>
              </w:rPr>
              <w:t>.</w:t>
            </w:r>
          </w:p>
          <w:p w14:paraId="3947BC7B" w14:textId="77777777" w:rsidR="005F4543" w:rsidRPr="00C03FB7" w:rsidRDefault="005F4543" w:rsidP="004F2E14">
            <w:pPr>
              <w:autoSpaceDE w:val="0"/>
              <w:autoSpaceDN w:val="0"/>
              <w:adjustRightInd w:val="0"/>
              <w:rPr>
                <w:rFonts w:cs="Arial"/>
                <w:color w:val="000000"/>
              </w:rPr>
            </w:pPr>
          </w:p>
          <w:p w14:paraId="706B752F" w14:textId="733ADB00" w:rsidR="00976A3E" w:rsidRDefault="005F4543" w:rsidP="00976A3E">
            <w:pPr>
              <w:autoSpaceDE w:val="0"/>
              <w:autoSpaceDN w:val="0"/>
              <w:adjustRightInd w:val="0"/>
              <w:rPr>
                <w:rFonts w:cs="Arial"/>
                <w:color w:val="000000"/>
              </w:rPr>
            </w:pPr>
            <w:r>
              <w:rPr>
                <w:rFonts w:cs="Arial"/>
                <w:color w:val="000000"/>
              </w:rPr>
              <w:t xml:space="preserve">PPIAF’s </w:t>
            </w:r>
            <w:r w:rsidR="00EA5A97">
              <w:rPr>
                <w:rFonts w:cs="Arial"/>
                <w:color w:val="000000"/>
              </w:rPr>
              <w:t xml:space="preserve">Strategy </w:t>
            </w:r>
            <w:r>
              <w:rPr>
                <w:rFonts w:cs="Arial"/>
                <w:color w:val="000000"/>
              </w:rPr>
              <w:t>for fiscal years 15-17</w:t>
            </w:r>
            <w:r w:rsidR="00EA5A97">
              <w:rPr>
                <w:rFonts w:cs="Arial"/>
                <w:color w:val="000000"/>
              </w:rPr>
              <w:t xml:space="preserve"> proposes to support n</w:t>
            </w:r>
            <w:r w:rsidR="00EA5A97" w:rsidRPr="00EA5A97">
              <w:rPr>
                <w:rFonts w:cs="Arial"/>
                <w:color w:val="000000"/>
              </w:rPr>
              <w:t>ational and sub-national governments in</w:t>
            </w:r>
            <w:r w:rsidR="00867FE2">
              <w:rPr>
                <w:rFonts w:cs="Arial"/>
                <w:color w:val="000000"/>
              </w:rPr>
              <w:t xml:space="preserve"> </w:t>
            </w:r>
            <w:r w:rsidR="00EA5A97" w:rsidRPr="00EA5A97">
              <w:rPr>
                <w:rFonts w:cs="Arial"/>
                <w:color w:val="000000"/>
              </w:rPr>
              <w:t xml:space="preserve">developing countries </w:t>
            </w:r>
            <w:r w:rsidR="005A5A8F">
              <w:rPr>
                <w:rFonts w:cs="Arial"/>
                <w:color w:val="000000"/>
              </w:rPr>
              <w:t xml:space="preserve">so that they </w:t>
            </w:r>
            <w:r w:rsidR="00EA5A97" w:rsidRPr="00EA5A97">
              <w:rPr>
                <w:rFonts w:cs="Arial"/>
                <w:color w:val="000000"/>
              </w:rPr>
              <w:t>have the capability to reduce poverty</w:t>
            </w:r>
            <w:r w:rsidR="00EA5A97">
              <w:rPr>
                <w:rFonts w:cs="Arial"/>
                <w:color w:val="000000"/>
              </w:rPr>
              <w:t xml:space="preserve"> </w:t>
            </w:r>
            <w:r w:rsidR="00EA5A97" w:rsidRPr="00EA5A97">
              <w:rPr>
                <w:rFonts w:cs="Arial"/>
                <w:color w:val="000000"/>
              </w:rPr>
              <w:t>levels in their territories by increasing private sector investment in the</w:t>
            </w:r>
            <w:r w:rsidR="00EA5A97">
              <w:rPr>
                <w:rFonts w:cs="Arial"/>
                <w:color w:val="000000"/>
              </w:rPr>
              <w:t xml:space="preserve"> </w:t>
            </w:r>
            <w:r w:rsidR="00EA5A97" w:rsidRPr="00EA5A97">
              <w:rPr>
                <w:rFonts w:cs="Arial"/>
                <w:color w:val="000000"/>
              </w:rPr>
              <w:t>development, maintenance, expansion, operation and delivery of quality, sustainable and</w:t>
            </w:r>
            <w:r w:rsidR="00EA5A97">
              <w:rPr>
                <w:rFonts w:cs="Arial"/>
                <w:color w:val="000000"/>
              </w:rPr>
              <w:t xml:space="preserve"> </w:t>
            </w:r>
            <w:r w:rsidR="00EA5A97" w:rsidRPr="00EA5A97">
              <w:rPr>
                <w:rFonts w:cs="Arial"/>
                <w:color w:val="000000"/>
              </w:rPr>
              <w:t>inclusive infrastructure services with emphasis on serving the poorest segments of their populations</w:t>
            </w:r>
            <w:r w:rsidR="00EA5A97">
              <w:rPr>
                <w:rFonts w:cs="Arial"/>
                <w:color w:val="000000"/>
              </w:rPr>
              <w:t xml:space="preserve">. </w:t>
            </w:r>
            <w:r w:rsidR="007F7489">
              <w:rPr>
                <w:rFonts w:cs="Arial"/>
                <w:color w:val="000000"/>
              </w:rPr>
              <w:t xml:space="preserve"> It expects to deploy around USD </w:t>
            </w:r>
            <w:r w:rsidR="003C5C1B">
              <w:rPr>
                <w:rFonts w:cs="Arial"/>
                <w:color w:val="000000"/>
              </w:rPr>
              <w:t xml:space="preserve">22 to 24 </w:t>
            </w:r>
            <w:r w:rsidR="007F7489">
              <w:rPr>
                <w:rFonts w:cs="Arial"/>
                <w:color w:val="000000"/>
              </w:rPr>
              <w:t>million</w:t>
            </w:r>
            <w:r w:rsidR="00EA5A97">
              <w:rPr>
                <w:rFonts w:cs="Arial"/>
                <w:color w:val="000000"/>
              </w:rPr>
              <w:t xml:space="preserve"> </w:t>
            </w:r>
            <w:r w:rsidR="007F7489">
              <w:rPr>
                <w:rFonts w:cs="Arial"/>
                <w:color w:val="000000"/>
              </w:rPr>
              <w:t xml:space="preserve">in technical assistance by FY 17. </w:t>
            </w:r>
            <w:r w:rsidR="007C75D4">
              <w:rPr>
                <w:rFonts w:cs="Arial"/>
                <w:color w:val="000000"/>
              </w:rPr>
              <w:t xml:space="preserve"> A significant portion of this TA will be delivered through ‘programs’– </w:t>
            </w:r>
            <w:r w:rsidR="007C75D4">
              <w:t xml:space="preserve">strategic engagements that seek to leverage PPIAF resources with partnerships for greater effects. Programmatic technical assistance (TA) is a sequence of activities designed to tackle multiple aspects of the enabling environment in a country, region or sector over the course of one or more years, to achieve more wide-ranging objectives.   </w:t>
            </w:r>
            <w:r w:rsidR="00976A3E" w:rsidRPr="00C03FB7">
              <w:rPr>
                <w:rFonts w:cs="Arial"/>
                <w:color w:val="000000"/>
              </w:rPr>
              <w:t>For more information, please visit</w:t>
            </w:r>
            <w:r w:rsidR="00976A3E">
              <w:rPr>
                <w:rFonts w:cs="Arial"/>
                <w:color w:val="000000"/>
              </w:rPr>
              <w:t xml:space="preserve"> </w:t>
            </w:r>
            <w:hyperlink r:id="rId12" w:history="1">
              <w:r w:rsidR="00976A3E" w:rsidRPr="00556B71">
                <w:rPr>
                  <w:rStyle w:val="Hyperlink"/>
                  <w:rFonts w:cs="Arial"/>
                </w:rPr>
                <w:t>www.ppiaf.org</w:t>
              </w:r>
            </w:hyperlink>
          </w:p>
          <w:p w14:paraId="2FDE38CF" w14:textId="77777777" w:rsidR="007C75D4" w:rsidRDefault="007C75D4" w:rsidP="00976A3E">
            <w:pPr>
              <w:autoSpaceDE w:val="0"/>
              <w:autoSpaceDN w:val="0"/>
              <w:adjustRightInd w:val="0"/>
            </w:pPr>
          </w:p>
          <w:p w14:paraId="599C38FA" w14:textId="6E640085" w:rsidR="00007CF3" w:rsidRPr="00007CF3" w:rsidRDefault="00007CF3" w:rsidP="00976A3E">
            <w:pPr>
              <w:autoSpaceDE w:val="0"/>
              <w:autoSpaceDN w:val="0"/>
              <w:adjustRightInd w:val="0"/>
              <w:rPr>
                <w:b/>
              </w:rPr>
            </w:pPr>
            <w:r w:rsidRPr="00007CF3">
              <w:rPr>
                <w:b/>
              </w:rPr>
              <w:t>PPIAF Sub-National Technical Assistance Program</w:t>
            </w:r>
          </w:p>
          <w:p w14:paraId="5942AFED" w14:textId="77777777" w:rsidR="00007CF3" w:rsidRDefault="00007CF3" w:rsidP="00976A3E">
            <w:pPr>
              <w:autoSpaceDE w:val="0"/>
              <w:autoSpaceDN w:val="0"/>
              <w:adjustRightInd w:val="0"/>
            </w:pPr>
          </w:p>
          <w:p w14:paraId="5773F2B8" w14:textId="29D897B9" w:rsidR="00007CF3" w:rsidRDefault="008C72A9" w:rsidP="00976A3E">
            <w:pPr>
              <w:autoSpaceDE w:val="0"/>
              <w:autoSpaceDN w:val="0"/>
              <w:adjustRightInd w:val="0"/>
            </w:pPr>
            <w:r>
              <w:t xml:space="preserve">PPIAF’s Sub-national Technical Assistance Program (SNTA Program) provides technical assistance grants to support sub-national entities to improve their ability to access financing for infrastructure investments, without relying on sovereign guarantees. </w:t>
            </w:r>
          </w:p>
          <w:p w14:paraId="65C0C6BA" w14:textId="77777777" w:rsidR="008C72A9" w:rsidRDefault="008C72A9" w:rsidP="00976A3E">
            <w:pPr>
              <w:autoSpaceDE w:val="0"/>
              <w:autoSpaceDN w:val="0"/>
              <w:adjustRightInd w:val="0"/>
            </w:pPr>
          </w:p>
          <w:p w14:paraId="2623898F" w14:textId="77777777" w:rsidR="00104915" w:rsidRPr="00104915" w:rsidRDefault="00104915" w:rsidP="00976A3E">
            <w:pPr>
              <w:autoSpaceDE w:val="0"/>
              <w:autoSpaceDN w:val="0"/>
              <w:adjustRightInd w:val="0"/>
              <w:rPr>
                <w:b/>
              </w:rPr>
            </w:pPr>
            <w:r w:rsidRPr="00104915">
              <w:rPr>
                <w:b/>
              </w:rPr>
              <w:t>Program Engagements in the Water Sector</w:t>
            </w:r>
          </w:p>
          <w:p w14:paraId="3C60EDC5" w14:textId="77777777" w:rsidR="00104915" w:rsidRDefault="00104915" w:rsidP="00976A3E">
            <w:pPr>
              <w:autoSpaceDE w:val="0"/>
              <w:autoSpaceDN w:val="0"/>
              <w:adjustRightInd w:val="0"/>
            </w:pPr>
          </w:p>
          <w:p w14:paraId="1D905DB0" w14:textId="3975F0B8" w:rsidR="001E3475" w:rsidRDefault="004A0FC7" w:rsidP="00E44788">
            <w:pPr>
              <w:tabs>
                <w:tab w:val="num" w:pos="720"/>
              </w:tabs>
              <w:autoSpaceDE w:val="0"/>
              <w:autoSpaceDN w:val="0"/>
              <w:adjustRightInd w:val="0"/>
              <w:rPr>
                <w:rFonts w:cs="Arial"/>
                <w:color w:val="000000"/>
              </w:rPr>
            </w:pPr>
            <w:r>
              <w:rPr>
                <w:rFonts w:cs="Arial"/>
                <w:color w:val="000000"/>
              </w:rPr>
              <w:t xml:space="preserve">Through an initiative of the respective Senior Directors of the </w:t>
            </w:r>
            <w:r w:rsidR="001406E8">
              <w:rPr>
                <w:rFonts w:cs="Arial"/>
                <w:color w:val="000000"/>
              </w:rPr>
              <w:t xml:space="preserve">World Bank PPP </w:t>
            </w:r>
            <w:r w:rsidR="00104915">
              <w:rPr>
                <w:rFonts w:cs="Arial"/>
                <w:color w:val="000000"/>
              </w:rPr>
              <w:t>Cross-Cutting Solutions Area, where PPIAF is housed,</w:t>
            </w:r>
            <w:r w:rsidR="001406E8">
              <w:rPr>
                <w:rFonts w:cs="Arial"/>
                <w:color w:val="000000"/>
              </w:rPr>
              <w:t xml:space="preserve"> and the Water Global Practice</w:t>
            </w:r>
            <w:r w:rsidR="00176421">
              <w:rPr>
                <w:rFonts w:cs="Arial"/>
                <w:color w:val="000000"/>
              </w:rPr>
              <w:t xml:space="preserve"> </w:t>
            </w:r>
            <w:r w:rsidR="00B37F62">
              <w:rPr>
                <w:rFonts w:cs="Arial"/>
                <w:color w:val="000000"/>
              </w:rPr>
              <w:t>(Water GP)</w:t>
            </w:r>
            <w:r w:rsidR="00104915">
              <w:rPr>
                <w:rFonts w:cs="Arial"/>
                <w:color w:val="000000"/>
              </w:rPr>
              <w:t>,</w:t>
            </w:r>
            <w:r w:rsidR="00B37F62">
              <w:rPr>
                <w:rFonts w:cs="Arial"/>
                <w:color w:val="000000"/>
              </w:rPr>
              <w:t xml:space="preserve"> </w:t>
            </w:r>
            <w:r>
              <w:rPr>
                <w:rFonts w:cs="Arial"/>
                <w:color w:val="000000"/>
              </w:rPr>
              <w:t xml:space="preserve">two to three program </w:t>
            </w:r>
            <w:r>
              <w:rPr>
                <w:rFonts w:cs="Arial"/>
                <w:color w:val="000000"/>
              </w:rPr>
              <w:lastRenderedPageBreak/>
              <w:t>engagements will be developed in the next 2 years to support more systematic support for private sector development in water</w:t>
            </w:r>
            <w:r w:rsidR="001406E8">
              <w:rPr>
                <w:rFonts w:cs="Arial"/>
                <w:color w:val="000000"/>
              </w:rPr>
              <w:t>.</w:t>
            </w:r>
            <w:r w:rsidR="00E44788">
              <w:rPr>
                <w:rFonts w:cs="Arial"/>
                <w:color w:val="000000"/>
              </w:rPr>
              <w:t xml:space="preserve">  </w:t>
            </w:r>
            <w:r w:rsidR="00E44788" w:rsidRPr="00A349AA">
              <w:rPr>
                <w:rFonts w:cs="Arial"/>
                <w:b/>
                <w:color w:val="000000"/>
              </w:rPr>
              <w:t>The g</w:t>
            </w:r>
            <w:r w:rsidR="00564D6D" w:rsidRPr="00A349AA">
              <w:rPr>
                <w:rFonts w:cs="Arial"/>
                <w:b/>
                <w:color w:val="000000"/>
              </w:rPr>
              <w:t xml:space="preserve">oal </w:t>
            </w:r>
            <w:r w:rsidR="00A349AA" w:rsidRPr="00A349AA">
              <w:rPr>
                <w:rFonts w:cs="Arial"/>
                <w:b/>
                <w:color w:val="000000"/>
              </w:rPr>
              <w:t>of the Water Programmatic E</w:t>
            </w:r>
            <w:r w:rsidR="00E44788" w:rsidRPr="00A349AA">
              <w:rPr>
                <w:rFonts w:cs="Arial"/>
                <w:b/>
                <w:color w:val="000000"/>
              </w:rPr>
              <w:t>ngagement</w:t>
            </w:r>
            <w:r w:rsidR="00A349AA" w:rsidRPr="00A349AA">
              <w:rPr>
                <w:rFonts w:cs="Arial"/>
                <w:b/>
                <w:color w:val="000000"/>
              </w:rPr>
              <w:t xml:space="preserve"> for Private Participation</w:t>
            </w:r>
            <w:r w:rsidR="00E44788" w:rsidRPr="00A349AA">
              <w:rPr>
                <w:rFonts w:cs="Arial"/>
                <w:b/>
                <w:color w:val="000000"/>
              </w:rPr>
              <w:t xml:space="preserve"> </w:t>
            </w:r>
            <w:r w:rsidR="00564D6D" w:rsidRPr="00A349AA">
              <w:rPr>
                <w:rFonts w:cs="Arial"/>
                <w:b/>
                <w:color w:val="000000"/>
              </w:rPr>
              <w:t>is to</w:t>
            </w:r>
            <w:r w:rsidR="00E44788" w:rsidRPr="00A349AA">
              <w:rPr>
                <w:rFonts w:cs="Arial"/>
                <w:b/>
                <w:color w:val="000000"/>
              </w:rPr>
              <w:t xml:space="preserve"> enhance the effectiveness of World Bank Group (WBG)</w:t>
            </w:r>
            <w:r w:rsidR="002E0165">
              <w:rPr>
                <w:rFonts w:cs="Arial"/>
                <w:b/>
                <w:color w:val="000000"/>
              </w:rPr>
              <w:t xml:space="preserve"> </w:t>
            </w:r>
            <w:r w:rsidR="00176421" w:rsidRPr="00A349AA">
              <w:rPr>
                <w:rFonts w:cs="Arial"/>
                <w:b/>
                <w:color w:val="000000"/>
              </w:rPr>
              <w:t xml:space="preserve">offering </w:t>
            </w:r>
            <w:r w:rsidR="00E44788" w:rsidRPr="00A349AA">
              <w:rPr>
                <w:rFonts w:cs="Arial"/>
                <w:b/>
                <w:color w:val="000000"/>
              </w:rPr>
              <w:t xml:space="preserve">to clients </w:t>
            </w:r>
            <w:r w:rsidR="00176421" w:rsidRPr="00A349AA">
              <w:rPr>
                <w:rFonts w:cs="Arial"/>
                <w:b/>
                <w:color w:val="000000"/>
              </w:rPr>
              <w:t xml:space="preserve">in the area of private sector participation in water through the </w:t>
            </w:r>
            <w:r w:rsidR="00E44788" w:rsidRPr="00A349AA">
              <w:rPr>
                <w:rFonts w:cs="Arial"/>
                <w:b/>
                <w:color w:val="000000"/>
              </w:rPr>
              <w:t>systematic</w:t>
            </w:r>
            <w:r w:rsidR="00176421" w:rsidRPr="00A349AA">
              <w:rPr>
                <w:rFonts w:cs="Arial"/>
                <w:b/>
                <w:color w:val="000000"/>
              </w:rPr>
              <w:t xml:space="preserve"> deployment of a full </w:t>
            </w:r>
            <w:r w:rsidR="00E44788" w:rsidRPr="00A349AA">
              <w:rPr>
                <w:rFonts w:cs="Arial"/>
                <w:b/>
                <w:color w:val="000000"/>
              </w:rPr>
              <w:t>suite of interventions</w:t>
            </w:r>
            <w:r w:rsidR="00176421" w:rsidRPr="00A349AA">
              <w:rPr>
                <w:rStyle w:val="FootnoteReference"/>
                <w:rFonts w:cs="Arial"/>
                <w:b/>
                <w:color w:val="000000"/>
              </w:rPr>
              <w:footnoteReference w:id="1"/>
            </w:r>
            <w:r w:rsidR="00E44788" w:rsidRPr="00A349AA">
              <w:rPr>
                <w:rFonts w:cs="Arial"/>
                <w:b/>
                <w:color w:val="000000"/>
              </w:rPr>
              <w:t xml:space="preserve"> from </w:t>
            </w:r>
            <w:r w:rsidR="00BA6B2B">
              <w:rPr>
                <w:rFonts w:cs="Arial"/>
                <w:b/>
                <w:color w:val="000000"/>
              </w:rPr>
              <w:t xml:space="preserve">the </w:t>
            </w:r>
            <w:r w:rsidR="00564D6D" w:rsidRPr="00A349AA">
              <w:rPr>
                <w:rFonts w:cs="Arial"/>
                <w:b/>
                <w:color w:val="000000"/>
              </w:rPr>
              <w:t xml:space="preserve">WBG </w:t>
            </w:r>
            <w:r w:rsidR="00E44788" w:rsidRPr="00A349AA">
              <w:rPr>
                <w:rFonts w:cs="Arial"/>
                <w:b/>
                <w:color w:val="000000"/>
              </w:rPr>
              <w:t xml:space="preserve">in a manner that is </w:t>
            </w:r>
            <w:r w:rsidR="00564D6D" w:rsidRPr="00A349AA">
              <w:rPr>
                <w:rFonts w:cs="Arial"/>
                <w:b/>
                <w:color w:val="000000"/>
              </w:rPr>
              <w:t>‘cheaper, faster and better</w:t>
            </w:r>
            <w:r w:rsidR="00176421" w:rsidRPr="00A349AA">
              <w:rPr>
                <w:rFonts w:cs="Arial"/>
                <w:b/>
                <w:color w:val="000000"/>
              </w:rPr>
              <w:t>.</w:t>
            </w:r>
            <w:r w:rsidR="00564D6D" w:rsidRPr="00A349AA">
              <w:rPr>
                <w:rFonts w:cs="Arial"/>
                <w:b/>
                <w:color w:val="000000"/>
              </w:rPr>
              <w:t>’</w:t>
            </w:r>
            <w:r w:rsidR="00564D6D" w:rsidRPr="00E44788">
              <w:rPr>
                <w:rFonts w:cs="Arial"/>
                <w:color w:val="000000"/>
              </w:rPr>
              <w:t xml:space="preserve"> </w:t>
            </w:r>
            <w:r w:rsidR="00104915">
              <w:rPr>
                <w:rFonts w:cs="Arial"/>
                <w:color w:val="000000"/>
              </w:rPr>
              <w:t xml:space="preserve">The Water PPP </w:t>
            </w:r>
            <w:proofErr w:type="spellStart"/>
            <w:r w:rsidR="00104915">
              <w:rPr>
                <w:rFonts w:cs="Arial"/>
                <w:color w:val="000000"/>
              </w:rPr>
              <w:t>CoP</w:t>
            </w:r>
            <w:proofErr w:type="spellEnd"/>
            <w:r w:rsidR="00104915">
              <w:rPr>
                <w:rFonts w:cs="Arial"/>
                <w:color w:val="000000"/>
              </w:rPr>
              <w:t xml:space="preserve"> is overseen by the Global Water Practice Water Supply Global Solutions Lead (William Kingdom) and led by Senior Water Supply &amp; Sanitation Specialists: Philippe Marin</w:t>
            </w:r>
            <w:r w:rsidR="008C72A9">
              <w:rPr>
                <w:rFonts w:cs="Arial"/>
                <w:color w:val="000000"/>
              </w:rPr>
              <w:t xml:space="preserve">, </w:t>
            </w:r>
            <w:r w:rsidR="00104915">
              <w:rPr>
                <w:rFonts w:cs="Arial"/>
                <w:color w:val="000000"/>
              </w:rPr>
              <w:t xml:space="preserve">Victoria Delmon </w:t>
            </w:r>
            <w:r w:rsidR="008C72A9">
              <w:rPr>
                <w:rFonts w:cs="Arial"/>
                <w:color w:val="000000"/>
              </w:rPr>
              <w:t xml:space="preserve">and Joel Kolker </w:t>
            </w:r>
            <w:r w:rsidR="00104915">
              <w:rPr>
                <w:rFonts w:cs="Arial"/>
                <w:color w:val="000000"/>
              </w:rPr>
              <w:t>for the Water GP and supported by Senior Industry and Infrastructure staff members from the PPP CCSA (Jane Jamieson) and PPIAF (Jemima Sy).</w:t>
            </w:r>
            <w:r>
              <w:rPr>
                <w:rFonts w:cs="Arial"/>
                <w:color w:val="000000"/>
              </w:rPr>
              <w:t xml:space="preserve">  </w:t>
            </w:r>
          </w:p>
          <w:p w14:paraId="77754E63" w14:textId="77777777" w:rsidR="001E3475" w:rsidRDefault="001E3475" w:rsidP="00E44788">
            <w:pPr>
              <w:tabs>
                <w:tab w:val="num" w:pos="720"/>
              </w:tabs>
              <w:autoSpaceDE w:val="0"/>
              <w:autoSpaceDN w:val="0"/>
              <w:adjustRightInd w:val="0"/>
              <w:rPr>
                <w:rFonts w:cs="Arial"/>
                <w:color w:val="000000"/>
              </w:rPr>
            </w:pPr>
          </w:p>
          <w:p w14:paraId="252DF25A" w14:textId="4BFC5430" w:rsidR="00BA6B2B" w:rsidRDefault="004A0FC7" w:rsidP="00E44788">
            <w:pPr>
              <w:tabs>
                <w:tab w:val="num" w:pos="720"/>
              </w:tabs>
              <w:autoSpaceDE w:val="0"/>
              <w:autoSpaceDN w:val="0"/>
              <w:adjustRightInd w:val="0"/>
              <w:rPr>
                <w:rFonts w:cs="Arial"/>
                <w:color w:val="000000"/>
              </w:rPr>
            </w:pPr>
            <w:r>
              <w:rPr>
                <w:rFonts w:cs="Arial"/>
                <w:color w:val="000000"/>
              </w:rPr>
              <w:t xml:space="preserve">The </w:t>
            </w:r>
            <w:r w:rsidR="00104915">
              <w:rPr>
                <w:rFonts w:cs="Arial"/>
                <w:color w:val="000000"/>
              </w:rPr>
              <w:t>Program for Developing Good Practices for Performance-Based Contract in Non-Revenue Water Management</w:t>
            </w:r>
            <w:r>
              <w:rPr>
                <w:rFonts w:cs="Arial"/>
                <w:color w:val="000000"/>
              </w:rPr>
              <w:t xml:space="preserve"> is the first of the engagement areas identified</w:t>
            </w:r>
            <w:r w:rsidR="00083F14">
              <w:rPr>
                <w:rFonts w:cs="Arial"/>
                <w:color w:val="000000"/>
              </w:rPr>
              <w:t xml:space="preserve"> and funded through PPIAF’s various trust funds</w:t>
            </w:r>
            <w:r>
              <w:rPr>
                <w:rFonts w:cs="Arial"/>
                <w:color w:val="000000"/>
              </w:rPr>
              <w:t>.</w:t>
            </w:r>
            <w:r w:rsidR="00083F14">
              <w:rPr>
                <w:rFonts w:cs="Arial"/>
                <w:color w:val="000000"/>
              </w:rPr>
              <w:t xml:space="preserve">  A second program is Financing Universal Access to Water, funded through PPIAF sub-national TA program.</w:t>
            </w:r>
          </w:p>
          <w:p w14:paraId="4CFB07FE" w14:textId="77777777" w:rsidR="004A0FC7" w:rsidRDefault="004A0FC7" w:rsidP="00E44788">
            <w:pPr>
              <w:tabs>
                <w:tab w:val="num" w:pos="720"/>
              </w:tabs>
              <w:autoSpaceDE w:val="0"/>
              <w:autoSpaceDN w:val="0"/>
              <w:adjustRightInd w:val="0"/>
              <w:rPr>
                <w:rFonts w:cs="Arial"/>
                <w:color w:val="000000"/>
              </w:rPr>
            </w:pPr>
          </w:p>
          <w:p w14:paraId="0C21ED98" w14:textId="77777777" w:rsidR="004A0FC7" w:rsidRPr="007C75D4" w:rsidRDefault="004A0FC7" w:rsidP="004A0FC7">
            <w:pPr>
              <w:autoSpaceDE w:val="0"/>
              <w:autoSpaceDN w:val="0"/>
              <w:adjustRightInd w:val="0"/>
              <w:rPr>
                <w:rFonts w:ascii="Calibri" w:hAnsi="Calibri" w:cs="Arial"/>
                <w:b/>
                <w:color w:val="000000"/>
              </w:rPr>
            </w:pPr>
            <w:r w:rsidRPr="007C75D4">
              <w:rPr>
                <w:b/>
              </w:rPr>
              <w:t xml:space="preserve">Program for </w:t>
            </w:r>
            <w:r w:rsidRPr="007C75D4">
              <w:rPr>
                <w:rFonts w:ascii="Calibri" w:hAnsi="Calibri" w:cs="Arial"/>
                <w:b/>
                <w:color w:val="000000"/>
              </w:rPr>
              <w:t xml:space="preserve">Developing Good </w:t>
            </w:r>
            <w:r>
              <w:rPr>
                <w:rFonts w:ascii="Calibri" w:hAnsi="Calibri" w:cs="Arial"/>
                <w:b/>
                <w:color w:val="000000"/>
              </w:rPr>
              <w:t>Performance-</w:t>
            </w:r>
            <w:r w:rsidRPr="007C75D4">
              <w:rPr>
                <w:rFonts w:ascii="Calibri" w:hAnsi="Calibri" w:cs="Arial"/>
                <w:b/>
                <w:color w:val="000000"/>
              </w:rPr>
              <w:t xml:space="preserve">Based Contract Practices in the Marketplace to Manage Non-Revenue Water </w:t>
            </w:r>
          </w:p>
          <w:p w14:paraId="554EB6CB" w14:textId="77777777" w:rsidR="00A327B4" w:rsidRDefault="00A327B4" w:rsidP="001E3475">
            <w:pPr>
              <w:rPr>
                <w:rFonts w:ascii="Calibri" w:hAnsi="Calibri"/>
                <w:color w:val="000000"/>
              </w:rPr>
            </w:pPr>
          </w:p>
          <w:p w14:paraId="33C1D776" w14:textId="5385245B" w:rsidR="001E3475" w:rsidRDefault="001E3475" w:rsidP="001E3475">
            <w:pPr>
              <w:rPr>
                <w:rFonts w:ascii="Calibri" w:hAnsi="Calibri"/>
                <w:color w:val="000000"/>
              </w:rPr>
            </w:pPr>
            <w:r>
              <w:rPr>
                <w:rFonts w:ascii="Calibri" w:hAnsi="Calibri"/>
                <w:color w:val="000000"/>
              </w:rPr>
              <w:t>The objective of this Program is to catalyze increasingly better practices in the marketplace on PBCs for NRW Management. Better practices are identified in the short term as shorter and more cost-effective preparation of PBC transactions and increased number of market participants (suppliers and seekers) active in the market, and in the medium-to-long term by improved value-for-money of PBC activities in NRW management and the longer rates of decline in NRW performance in participating utilities post-PBC.</w:t>
            </w:r>
          </w:p>
          <w:p w14:paraId="2E73A9A0" w14:textId="77777777" w:rsidR="001E3475" w:rsidRDefault="001E3475" w:rsidP="001E3475">
            <w:pPr>
              <w:rPr>
                <w:rFonts w:ascii="Calibri" w:hAnsi="Calibri"/>
                <w:color w:val="000000"/>
              </w:rPr>
            </w:pPr>
          </w:p>
          <w:p w14:paraId="6E91611F" w14:textId="77777777" w:rsidR="001E3475" w:rsidRDefault="001E3475" w:rsidP="001E3475">
            <w:pPr>
              <w:rPr>
                <w:rFonts w:ascii="Calibri" w:hAnsi="Calibri"/>
                <w:color w:val="000000"/>
              </w:rPr>
            </w:pPr>
            <w:r>
              <w:rPr>
                <w:rFonts w:ascii="Calibri" w:hAnsi="Calibri"/>
                <w:color w:val="000000"/>
              </w:rPr>
              <w:t>The Program will have the following four components:</w:t>
            </w:r>
          </w:p>
          <w:p w14:paraId="5A47D32D" w14:textId="77777777" w:rsidR="001E3475" w:rsidRDefault="001E3475" w:rsidP="001E3475">
            <w:pPr>
              <w:pStyle w:val="ListParagraph"/>
              <w:numPr>
                <w:ilvl w:val="0"/>
                <w:numId w:val="14"/>
              </w:numPr>
              <w:contextualSpacing w:val="0"/>
              <w:jc w:val="left"/>
              <w:rPr>
                <w:rFonts w:ascii="Calibri" w:hAnsi="Calibri"/>
                <w:color w:val="000000"/>
              </w:rPr>
            </w:pPr>
            <w:r w:rsidRPr="00A327B4">
              <w:rPr>
                <w:b/>
                <w:color w:val="000000"/>
              </w:rPr>
              <w:t>Component 1:</w:t>
            </w:r>
            <w:r>
              <w:rPr>
                <w:color w:val="000000"/>
              </w:rPr>
              <w:t xml:space="preserve"> Guidance, Standardization and Systematic Learning</w:t>
            </w:r>
          </w:p>
          <w:p w14:paraId="107D5B5D" w14:textId="77777777" w:rsidR="001E3475" w:rsidRDefault="001E3475" w:rsidP="001E3475">
            <w:pPr>
              <w:pStyle w:val="ListParagraph"/>
              <w:numPr>
                <w:ilvl w:val="0"/>
                <w:numId w:val="14"/>
              </w:numPr>
              <w:contextualSpacing w:val="0"/>
              <w:jc w:val="left"/>
              <w:rPr>
                <w:color w:val="000000"/>
              </w:rPr>
            </w:pPr>
            <w:r w:rsidRPr="00A327B4">
              <w:rPr>
                <w:b/>
                <w:color w:val="000000"/>
              </w:rPr>
              <w:t>Component 2:</w:t>
            </w:r>
            <w:r>
              <w:rPr>
                <w:color w:val="000000"/>
              </w:rPr>
              <w:t xml:space="preserve"> Country Support for NRW PBC (Including two already approved TA activities in Kenya (Nairobi and/or Mombasa) and Pakistan (Faisalabad) for which PPIAF has recently already approved support that will be ‘folded’ into this broader Program to benefit from the learning. )</w:t>
            </w:r>
          </w:p>
          <w:p w14:paraId="3426B57C" w14:textId="77777777" w:rsidR="001E3475" w:rsidRDefault="001E3475" w:rsidP="001E3475">
            <w:pPr>
              <w:pStyle w:val="ListParagraph"/>
              <w:numPr>
                <w:ilvl w:val="0"/>
                <w:numId w:val="14"/>
              </w:numPr>
              <w:contextualSpacing w:val="0"/>
              <w:jc w:val="left"/>
              <w:rPr>
                <w:color w:val="000000"/>
              </w:rPr>
            </w:pPr>
            <w:r w:rsidRPr="00A327B4">
              <w:rPr>
                <w:b/>
                <w:color w:val="000000"/>
              </w:rPr>
              <w:t>Component 3:</w:t>
            </w:r>
            <w:r>
              <w:rPr>
                <w:color w:val="000000"/>
              </w:rPr>
              <w:t xml:space="preserve"> Capacity Building and engagement of Private Service Companies</w:t>
            </w:r>
          </w:p>
          <w:p w14:paraId="4C0D2073" w14:textId="77777777" w:rsidR="001E3475" w:rsidRDefault="001E3475" w:rsidP="001E3475">
            <w:pPr>
              <w:pStyle w:val="ListParagraph"/>
              <w:numPr>
                <w:ilvl w:val="0"/>
                <w:numId w:val="14"/>
              </w:numPr>
              <w:contextualSpacing w:val="0"/>
              <w:jc w:val="left"/>
              <w:rPr>
                <w:color w:val="000000"/>
              </w:rPr>
            </w:pPr>
            <w:r w:rsidRPr="00A327B4">
              <w:rPr>
                <w:b/>
                <w:color w:val="000000"/>
              </w:rPr>
              <w:t>Component 4:</w:t>
            </w:r>
            <w:r>
              <w:rPr>
                <w:color w:val="000000"/>
              </w:rPr>
              <w:t xml:space="preserve"> National Scale-Up Support</w:t>
            </w:r>
          </w:p>
          <w:p w14:paraId="674EECBD" w14:textId="77777777" w:rsidR="00EC34F7" w:rsidRDefault="00EC34F7" w:rsidP="00EC34F7">
            <w:pPr>
              <w:pStyle w:val="ListParagraph"/>
              <w:contextualSpacing w:val="0"/>
              <w:jc w:val="left"/>
              <w:rPr>
                <w:color w:val="000000"/>
              </w:rPr>
            </w:pPr>
          </w:p>
          <w:p w14:paraId="30C4AC0A" w14:textId="0ED1FF8D" w:rsidR="00EA01D3" w:rsidRDefault="001E3475" w:rsidP="001E3475">
            <w:pPr>
              <w:rPr>
                <w:rFonts w:ascii="Calibri" w:hAnsi="Calibri"/>
                <w:color w:val="000000"/>
              </w:rPr>
            </w:pPr>
            <w:r>
              <w:rPr>
                <w:rFonts w:ascii="Calibri" w:hAnsi="Calibri"/>
                <w:color w:val="000000"/>
              </w:rPr>
              <w:t>The Program partner</w:t>
            </w:r>
            <w:r w:rsidR="00EC34F7">
              <w:rPr>
                <w:rFonts w:ascii="Calibri" w:hAnsi="Calibri"/>
                <w:color w:val="000000"/>
              </w:rPr>
              <w:t>s</w:t>
            </w:r>
            <w:r>
              <w:rPr>
                <w:rFonts w:ascii="Calibri" w:hAnsi="Calibri"/>
                <w:color w:val="000000"/>
              </w:rPr>
              <w:t xml:space="preserve"> with the Inter-American Development Bank and the International Water Association, and receive co-financing from the Water Global Practice of the World Bank Group (including trust funds Water Partnership Program and Water &amp; Sanitation Program) and the PPP CCSA.  </w:t>
            </w:r>
          </w:p>
          <w:p w14:paraId="60B0631D" w14:textId="77777777" w:rsidR="00EA01D3" w:rsidRDefault="00EA01D3" w:rsidP="001E3475">
            <w:pPr>
              <w:rPr>
                <w:rFonts w:ascii="Calibri" w:hAnsi="Calibri"/>
                <w:color w:val="000000"/>
              </w:rPr>
            </w:pPr>
          </w:p>
          <w:p w14:paraId="1CD15516" w14:textId="7A206D60" w:rsidR="00EA01D3" w:rsidRDefault="00EA01D3" w:rsidP="00EA01D3">
            <w:pPr>
              <w:rPr>
                <w:rFonts w:ascii="Calibri" w:hAnsi="Calibri"/>
                <w:color w:val="000000"/>
              </w:rPr>
            </w:pPr>
            <w:r w:rsidRPr="00EA01D3">
              <w:rPr>
                <w:rFonts w:ascii="Calibri" w:hAnsi="Calibri"/>
                <w:color w:val="000000"/>
              </w:rPr>
              <w:t xml:space="preserve">Within the World Bank, this Program </w:t>
            </w:r>
            <w:r>
              <w:rPr>
                <w:rFonts w:ascii="Calibri" w:hAnsi="Calibri"/>
                <w:color w:val="000000"/>
              </w:rPr>
              <w:t xml:space="preserve">will be </w:t>
            </w:r>
            <w:r w:rsidRPr="00EA01D3">
              <w:rPr>
                <w:rFonts w:ascii="Calibri" w:hAnsi="Calibri"/>
                <w:color w:val="000000"/>
              </w:rPr>
              <w:t xml:space="preserve">executed through the joint Water GP and PPP CCSA </w:t>
            </w:r>
            <w:r>
              <w:rPr>
                <w:rFonts w:ascii="Calibri" w:hAnsi="Calibri"/>
                <w:color w:val="000000"/>
              </w:rPr>
              <w:t xml:space="preserve">Water PPP </w:t>
            </w:r>
            <w:proofErr w:type="spellStart"/>
            <w:r>
              <w:rPr>
                <w:rFonts w:ascii="Calibri" w:hAnsi="Calibri"/>
                <w:color w:val="000000"/>
              </w:rPr>
              <w:t>CoP</w:t>
            </w:r>
            <w:proofErr w:type="spellEnd"/>
            <w:r>
              <w:rPr>
                <w:rFonts w:ascii="Calibri" w:hAnsi="Calibri"/>
                <w:color w:val="000000"/>
              </w:rPr>
              <w:t xml:space="preserve"> </w:t>
            </w:r>
            <w:r w:rsidRPr="00EA01D3">
              <w:rPr>
                <w:rFonts w:ascii="Calibri" w:hAnsi="Calibri"/>
                <w:color w:val="000000"/>
              </w:rPr>
              <w:t>under the guidance of the Global Solutions Group Lead on Water Supply</w:t>
            </w:r>
            <w:r>
              <w:rPr>
                <w:rFonts w:ascii="Calibri" w:hAnsi="Calibri"/>
                <w:color w:val="000000"/>
              </w:rPr>
              <w:t xml:space="preserve"> (William Kingdom).  </w:t>
            </w:r>
            <w:r w:rsidRPr="00EA01D3">
              <w:rPr>
                <w:rFonts w:ascii="Calibri" w:hAnsi="Calibri"/>
                <w:color w:val="000000"/>
              </w:rPr>
              <w:t xml:space="preserve">In relation to external partners: development financial institutions such as IDB as well as the International Water Association, a </w:t>
            </w:r>
            <w:r w:rsidRPr="00EA01D3">
              <w:rPr>
                <w:rFonts w:ascii="Calibri" w:hAnsi="Calibri"/>
                <w:b/>
                <w:color w:val="000000"/>
              </w:rPr>
              <w:t>Partnership Group</w:t>
            </w:r>
            <w:r w:rsidRPr="00EA01D3">
              <w:rPr>
                <w:rFonts w:ascii="Calibri" w:hAnsi="Calibri"/>
                <w:color w:val="000000"/>
              </w:rPr>
              <w:t xml:space="preserve"> will be convened under the Program twice a year:  once to synchronize plans and funding/budgets for the coming year and a second time, with the Country Teams, to exchange on lessons over the past year that would feed into the various Program components, but particularly, Component 1</w:t>
            </w:r>
            <w:r>
              <w:rPr>
                <w:rFonts w:ascii="Calibri" w:hAnsi="Calibri"/>
                <w:color w:val="000000"/>
              </w:rPr>
              <w:t xml:space="preserve">.  </w:t>
            </w:r>
            <w:r w:rsidRPr="00EA01D3">
              <w:rPr>
                <w:rFonts w:ascii="Calibri" w:hAnsi="Calibri"/>
                <w:color w:val="000000"/>
              </w:rPr>
              <w:t xml:space="preserve">The PG will be an informal coordination group, and for the most part, partner institutions will be expected to oversee/implement their respective activities </w:t>
            </w:r>
            <w:proofErr w:type="gramStart"/>
            <w:r w:rsidRPr="00EA01D3">
              <w:rPr>
                <w:rFonts w:ascii="Calibri" w:hAnsi="Calibri"/>
                <w:color w:val="000000"/>
              </w:rPr>
              <w:lastRenderedPageBreak/>
              <w:t>according</w:t>
            </w:r>
            <w:proofErr w:type="gramEnd"/>
            <w:r w:rsidRPr="00EA01D3">
              <w:rPr>
                <w:rFonts w:ascii="Calibri" w:hAnsi="Calibri"/>
                <w:color w:val="000000"/>
              </w:rPr>
              <w:t xml:space="preserve"> to their own institutional procedures.  The main aim of the PG is to develop working relationships and processes that enable the different institutions to come together and assist them and their clients to build on the others’ work programs.  It is, therefore, important that members in the PG are </w:t>
            </w:r>
            <w:r>
              <w:rPr>
                <w:rFonts w:ascii="Calibri" w:hAnsi="Calibri"/>
                <w:color w:val="000000"/>
              </w:rPr>
              <w:t>able to</w:t>
            </w:r>
            <w:r w:rsidRPr="00EA01D3">
              <w:rPr>
                <w:rFonts w:ascii="Calibri" w:hAnsi="Calibri"/>
                <w:color w:val="000000"/>
              </w:rPr>
              <w:t xml:space="preserve"> share information on their different undertakings related to enhancing the knowledge and lessons component of the overall Program.</w:t>
            </w:r>
          </w:p>
          <w:p w14:paraId="2C74098E" w14:textId="77777777" w:rsidR="00231926" w:rsidRDefault="00231926" w:rsidP="00EA01D3">
            <w:pPr>
              <w:rPr>
                <w:rFonts w:ascii="Calibri" w:hAnsi="Calibri"/>
                <w:color w:val="000000"/>
              </w:rPr>
            </w:pPr>
          </w:p>
          <w:p w14:paraId="7A9F4E98" w14:textId="5C75E839" w:rsidR="00231926" w:rsidRDefault="00231926" w:rsidP="00EA01D3">
            <w:pPr>
              <w:rPr>
                <w:rFonts w:ascii="Calibri" w:hAnsi="Calibri"/>
                <w:b/>
                <w:color w:val="000000"/>
              </w:rPr>
            </w:pPr>
            <w:r w:rsidRPr="00231926">
              <w:rPr>
                <w:rFonts w:ascii="Calibri" w:hAnsi="Calibri"/>
                <w:b/>
                <w:color w:val="000000"/>
              </w:rPr>
              <w:t xml:space="preserve">Other </w:t>
            </w:r>
            <w:r>
              <w:rPr>
                <w:rFonts w:ascii="Calibri" w:hAnsi="Calibri"/>
                <w:b/>
                <w:color w:val="000000"/>
              </w:rPr>
              <w:t xml:space="preserve">PPP-Water </w:t>
            </w:r>
            <w:r w:rsidRPr="00231926">
              <w:rPr>
                <w:rFonts w:ascii="Calibri" w:hAnsi="Calibri"/>
                <w:b/>
                <w:color w:val="000000"/>
              </w:rPr>
              <w:t>Activities</w:t>
            </w:r>
          </w:p>
          <w:p w14:paraId="045A4DE4" w14:textId="6A913B10" w:rsidR="00231926" w:rsidRDefault="00231926" w:rsidP="00EA01D3">
            <w:pPr>
              <w:rPr>
                <w:rFonts w:ascii="Calibri" w:hAnsi="Calibri"/>
                <w:color w:val="000000"/>
              </w:rPr>
            </w:pPr>
            <w:r>
              <w:rPr>
                <w:rFonts w:ascii="Calibri" w:hAnsi="Calibri"/>
                <w:color w:val="000000"/>
              </w:rPr>
              <w:t xml:space="preserve">In addition to the two programs mentioned, </w:t>
            </w:r>
            <w:r w:rsidR="00230561">
              <w:rPr>
                <w:rFonts w:ascii="Calibri" w:hAnsi="Calibri"/>
                <w:color w:val="000000"/>
              </w:rPr>
              <w:t>PPIAF/</w:t>
            </w:r>
            <w:r>
              <w:rPr>
                <w:rFonts w:ascii="Calibri" w:hAnsi="Calibri"/>
                <w:color w:val="000000"/>
              </w:rPr>
              <w:t>PPP CCSA and Water teams undertake a number of activities related to the facilitation private sector engagement in water.  This includes:</w:t>
            </w:r>
          </w:p>
          <w:p w14:paraId="78F25293" w14:textId="77777777" w:rsidR="00231926" w:rsidRDefault="00231926" w:rsidP="00EA01D3">
            <w:pPr>
              <w:rPr>
                <w:rFonts w:ascii="Calibri" w:hAnsi="Calibri"/>
                <w:color w:val="000000"/>
              </w:rPr>
            </w:pPr>
          </w:p>
          <w:p w14:paraId="325AC340" w14:textId="35B25D93" w:rsidR="00231926" w:rsidRPr="00230561" w:rsidRDefault="00231926" w:rsidP="00230561">
            <w:pPr>
              <w:pStyle w:val="ListParagraph"/>
              <w:numPr>
                <w:ilvl w:val="0"/>
                <w:numId w:val="20"/>
              </w:numPr>
              <w:rPr>
                <w:rFonts w:ascii="Calibri" w:hAnsi="Calibri"/>
                <w:color w:val="000000"/>
              </w:rPr>
            </w:pPr>
            <w:r w:rsidRPr="00230561">
              <w:rPr>
                <w:rFonts w:ascii="Calibri" w:hAnsi="Calibri"/>
                <w:color w:val="000000"/>
              </w:rPr>
              <w:t>Animation of the Water PPP Community of Practice</w:t>
            </w:r>
          </w:p>
          <w:p w14:paraId="16BC99D6" w14:textId="09467E0F" w:rsidR="00231926" w:rsidRPr="00230561" w:rsidRDefault="00231926" w:rsidP="00230561">
            <w:pPr>
              <w:pStyle w:val="ListParagraph"/>
              <w:numPr>
                <w:ilvl w:val="0"/>
                <w:numId w:val="20"/>
              </w:numPr>
              <w:rPr>
                <w:rFonts w:ascii="Calibri" w:hAnsi="Calibri"/>
                <w:color w:val="000000"/>
              </w:rPr>
            </w:pPr>
            <w:r w:rsidRPr="00230561">
              <w:rPr>
                <w:rFonts w:ascii="Calibri" w:hAnsi="Calibri"/>
                <w:color w:val="000000"/>
              </w:rPr>
              <w:t>Project Investment Lending activities provided to client countries such as the Benin Water</w:t>
            </w:r>
          </w:p>
          <w:p w14:paraId="705EB22E" w14:textId="163585F9" w:rsidR="00230561" w:rsidRPr="00230561" w:rsidRDefault="00230561" w:rsidP="00230561">
            <w:pPr>
              <w:pStyle w:val="ListParagraph"/>
              <w:numPr>
                <w:ilvl w:val="0"/>
                <w:numId w:val="20"/>
              </w:numPr>
              <w:rPr>
                <w:rFonts w:ascii="Calibri" w:hAnsi="Calibri"/>
                <w:color w:val="000000"/>
              </w:rPr>
            </w:pPr>
            <w:r w:rsidRPr="00230561">
              <w:rPr>
                <w:rFonts w:ascii="Calibri" w:hAnsi="Calibri"/>
                <w:color w:val="000000"/>
              </w:rPr>
              <w:t>Technical Assistance activities provided to client countries such as Rwanda’s Rural Water PPP</w:t>
            </w:r>
          </w:p>
          <w:p w14:paraId="5F014158" w14:textId="77777777" w:rsidR="00231926" w:rsidRPr="00231926" w:rsidRDefault="00231926" w:rsidP="00EA01D3">
            <w:pPr>
              <w:rPr>
                <w:rFonts w:ascii="Calibri" w:hAnsi="Calibri"/>
                <w:b/>
                <w:color w:val="000000"/>
              </w:rPr>
            </w:pPr>
          </w:p>
          <w:p w14:paraId="46E7F952" w14:textId="77777777" w:rsidR="00104915" w:rsidRDefault="00104915" w:rsidP="00E44788">
            <w:pPr>
              <w:rPr>
                <w:b/>
              </w:rPr>
            </w:pPr>
          </w:p>
          <w:p w14:paraId="01C5C42F" w14:textId="47216459" w:rsidR="00397121" w:rsidRPr="00C03FB7" w:rsidRDefault="00397121" w:rsidP="004F2E14">
            <w:pPr>
              <w:ind w:left="5"/>
              <w:rPr>
                <w:b/>
              </w:rPr>
            </w:pPr>
            <w:r w:rsidRPr="00C03FB7">
              <w:rPr>
                <w:b/>
              </w:rPr>
              <w:t xml:space="preserve">Objective of the </w:t>
            </w:r>
            <w:r w:rsidR="007F7489">
              <w:rPr>
                <w:b/>
              </w:rPr>
              <w:t>Assignment</w:t>
            </w:r>
          </w:p>
          <w:p w14:paraId="29609043" w14:textId="7B0BC490" w:rsidR="001412B8" w:rsidRPr="00EC34F7" w:rsidRDefault="002E03F3" w:rsidP="001412B8">
            <w:pPr>
              <w:ind w:left="5"/>
            </w:pPr>
            <w:r w:rsidRPr="00EC34F7">
              <w:t xml:space="preserve">The objective of </w:t>
            </w:r>
            <w:r w:rsidR="00BA6B2B" w:rsidRPr="00EC34F7">
              <w:t>this assignment</w:t>
            </w:r>
            <w:r w:rsidR="00867FE2" w:rsidRPr="00EC34F7">
              <w:t xml:space="preserve"> </w:t>
            </w:r>
            <w:r w:rsidR="00EC2B05" w:rsidRPr="00EC34F7">
              <w:t xml:space="preserve">is </w:t>
            </w:r>
            <w:r w:rsidR="00867FE2" w:rsidRPr="00EC34F7">
              <w:t>to</w:t>
            </w:r>
            <w:r w:rsidR="00EA01D3" w:rsidRPr="00EC34F7">
              <w:t xml:space="preserve"> </w:t>
            </w:r>
            <w:r w:rsidR="00725699" w:rsidRPr="00EC34F7">
              <w:t xml:space="preserve">provide </w:t>
            </w:r>
            <w:r w:rsidR="00214FD0" w:rsidRPr="00EC34F7">
              <w:t xml:space="preserve">analytical, logistical and coordination </w:t>
            </w:r>
            <w:r w:rsidR="00A35A24" w:rsidRPr="00EC34F7">
              <w:t xml:space="preserve">assistance </w:t>
            </w:r>
            <w:r w:rsidR="00214FD0" w:rsidRPr="00EC34F7">
              <w:t>to the</w:t>
            </w:r>
            <w:r w:rsidR="001412B8" w:rsidRPr="00EC34F7">
              <w:t xml:space="preserve"> joint Water GP-PPIAF team managing the PPIAF water portfolio</w:t>
            </w:r>
            <w:r w:rsidR="00231926">
              <w:t>, through which</w:t>
            </w:r>
            <w:r w:rsidR="001412B8" w:rsidRPr="00EC34F7">
              <w:t xml:space="preserve"> the </w:t>
            </w:r>
            <w:r w:rsidR="00231926">
              <w:t xml:space="preserve">two </w:t>
            </w:r>
            <w:r w:rsidR="001412B8" w:rsidRPr="00EC34F7">
              <w:t xml:space="preserve">Global Program is executed.  </w:t>
            </w:r>
          </w:p>
          <w:p w14:paraId="0DEACB12" w14:textId="77777777" w:rsidR="001412B8" w:rsidRPr="00EC34F7" w:rsidRDefault="001412B8" w:rsidP="001412B8">
            <w:pPr>
              <w:ind w:left="5"/>
            </w:pPr>
          </w:p>
          <w:p w14:paraId="4275B059" w14:textId="1B125099" w:rsidR="00D05F89" w:rsidRPr="00EC34F7" w:rsidRDefault="00E93BE4" w:rsidP="001412B8">
            <w:pPr>
              <w:ind w:left="5"/>
            </w:pPr>
            <w:r>
              <w:t>P</w:t>
            </w:r>
            <w:r w:rsidR="00231926">
              <w:t xml:space="preserve">articularly related to the Global Program on PBC for NRW, </w:t>
            </w:r>
            <w:r>
              <w:t>t</w:t>
            </w:r>
            <w:r w:rsidRPr="00EC34F7">
              <w:t>his will require supporting the various Program actors</w:t>
            </w:r>
            <w:r>
              <w:t xml:space="preserve"> </w:t>
            </w:r>
            <w:r w:rsidR="00231926">
              <w:t>such</w:t>
            </w:r>
            <w:r w:rsidR="00214FD0" w:rsidRPr="00EC34F7">
              <w:t xml:space="preserve"> </w:t>
            </w:r>
            <w:r w:rsidR="00231926">
              <w:t xml:space="preserve">as </w:t>
            </w:r>
            <w:r w:rsidR="00214FD0" w:rsidRPr="00EC34F7">
              <w:t>the Partnership Group members, various consultants working at global and country levels</w:t>
            </w:r>
            <w:r w:rsidR="00067477" w:rsidRPr="00EC34F7">
              <w:t xml:space="preserve"> including the Global Technical Secretariat firm (Castalia)</w:t>
            </w:r>
            <w:r w:rsidR="00214FD0" w:rsidRPr="00EC34F7">
              <w:t>, the Pool of Experts, as well as the various tasks teams from different development financial institutions that are implementing country-based activities.</w:t>
            </w:r>
            <w:r w:rsidR="00E42BFD" w:rsidRPr="00EC34F7">
              <w:t xml:space="preserve"> </w:t>
            </w:r>
          </w:p>
          <w:p w14:paraId="39139DE3" w14:textId="77777777" w:rsidR="00D05F89" w:rsidRDefault="00D05F89" w:rsidP="00EF0AC7">
            <w:pPr>
              <w:ind w:left="5"/>
            </w:pPr>
          </w:p>
          <w:p w14:paraId="66C0B668" w14:textId="09FDDF33" w:rsidR="00231926" w:rsidRDefault="00230561" w:rsidP="00D05F89">
            <w:pPr>
              <w:ind w:left="5"/>
            </w:pPr>
            <w:r>
              <w:t>T</w:t>
            </w:r>
            <w:r w:rsidR="00E42BFD">
              <w:t xml:space="preserve">he </w:t>
            </w:r>
            <w:r w:rsidR="001412B8">
              <w:t xml:space="preserve">analyst </w:t>
            </w:r>
            <w:r w:rsidR="00E42BFD">
              <w:t xml:space="preserve">will </w:t>
            </w:r>
            <w:r>
              <w:t xml:space="preserve">provide research and </w:t>
            </w:r>
            <w:r w:rsidR="00231926">
              <w:t xml:space="preserve">operational </w:t>
            </w:r>
            <w:r>
              <w:t xml:space="preserve">support to the PPIAF Senior Infrastructure Specialist (Water) </w:t>
            </w:r>
            <w:r w:rsidR="00E93BE4">
              <w:t xml:space="preserve">in managing </w:t>
            </w:r>
            <w:r>
              <w:t xml:space="preserve">and monitoring of </w:t>
            </w:r>
            <w:r w:rsidRPr="00D05F89">
              <w:t xml:space="preserve">PPIAF </w:t>
            </w:r>
            <w:r>
              <w:t>water sector activities.</w:t>
            </w:r>
          </w:p>
          <w:p w14:paraId="5FA74D55" w14:textId="77777777" w:rsidR="00230561" w:rsidRDefault="00230561" w:rsidP="00D05F89">
            <w:pPr>
              <w:ind w:left="5"/>
            </w:pPr>
          </w:p>
          <w:p w14:paraId="43875218" w14:textId="6B686F88" w:rsidR="001412B8" w:rsidRDefault="00230561" w:rsidP="00D05F89">
            <w:pPr>
              <w:ind w:left="5"/>
            </w:pPr>
            <w:r>
              <w:t>Finally, on an as-needs basis, the analyst will provide support to the “Other PPP-Water Act</w:t>
            </w:r>
            <w:r w:rsidR="00E93BE4">
              <w:t>i</w:t>
            </w:r>
            <w:r>
              <w:t>vities” mentioned above.</w:t>
            </w:r>
          </w:p>
          <w:p w14:paraId="03E9C0F7" w14:textId="4DD5A8A8" w:rsidR="00725699" w:rsidRPr="00C03FB7" w:rsidRDefault="00725699" w:rsidP="00EC34F7"/>
        </w:tc>
      </w:tr>
      <w:tr w:rsidR="00397121" w:rsidRPr="00C03FB7" w14:paraId="4768F638" w14:textId="77777777" w:rsidTr="00322124">
        <w:trPr>
          <w:trHeight w:val="350"/>
          <w:jc w:val="center"/>
        </w:trPr>
        <w:tc>
          <w:tcPr>
            <w:tcW w:w="9350" w:type="dxa"/>
          </w:tcPr>
          <w:p w14:paraId="44CC4473" w14:textId="29A85BAE" w:rsidR="00397121" w:rsidRPr="00015C7F" w:rsidRDefault="00322124" w:rsidP="00015C7F">
            <w:pPr>
              <w:pStyle w:val="ListParagraph"/>
              <w:numPr>
                <w:ilvl w:val="0"/>
                <w:numId w:val="1"/>
              </w:numPr>
              <w:ind w:left="365"/>
              <w:rPr>
                <w:rFonts w:cs="Arial"/>
                <w:b/>
                <w:caps/>
              </w:rPr>
            </w:pPr>
            <w:r>
              <w:rPr>
                <w:rFonts w:cs="Arial"/>
                <w:b/>
                <w:caps/>
              </w:rPr>
              <w:lastRenderedPageBreak/>
              <w:t>ScOPE of Work</w:t>
            </w:r>
          </w:p>
          <w:p w14:paraId="6F873C6D" w14:textId="77777777" w:rsidR="005753AE" w:rsidRDefault="005753AE" w:rsidP="00A1216A">
            <w:pPr>
              <w:ind w:left="5"/>
              <w:rPr>
                <w:b/>
              </w:rPr>
            </w:pPr>
          </w:p>
          <w:p w14:paraId="4DC0A95B" w14:textId="665DB8E7" w:rsidR="00A1216A" w:rsidRDefault="00A1216A" w:rsidP="00A1216A">
            <w:pPr>
              <w:ind w:left="5"/>
              <w:rPr>
                <w:b/>
              </w:rPr>
            </w:pPr>
            <w:r>
              <w:rPr>
                <w:b/>
              </w:rPr>
              <w:t>Global Program on PBC for NRW</w:t>
            </w:r>
            <w:r w:rsidR="00230561">
              <w:rPr>
                <w:b/>
              </w:rPr>
              <w:t xml:space="preserve"> (60 days</w:t>
            </w:r>
            <w:r w:rsidR="00126C65">
              <w:rPr>
                <w:b/>
              </w:rPr>
              <w:t xml:space="preserve"> per 12 months</w:t>
            </w:r>
            <w:r w:rsidR="00230561">
              <w:rPr>
                <w:b/>
              </w:rPr>
              <w:t>)</w:t>
            </w:r>
          </w:p>
          <w:p w14:paraId="732DF97F" w14:textId="77777777" w:rsidR="00A1216A" w:rsidRDefault="00A1216A" w:rsidP="00A1216A">
            <w:pPr>
              <w:ind w:left="5"/>
              <w:rPr>
                <w:b/>
              </w:rPr>
            </w:pPr>
          </w:p>
          <w:p w14:paraId="5919931A" w14:textId="37A3BD7B" w:rsidR="0046271D" w:rsidRDefault="0046271D" w:rsidP="0046271D">
            <w:pPr>
              <w:pStyle w:val="ListParagraph"/>
              <w:numPr>
                <w:ilvl w:val="0"/>
                <w:numId w:val="10"/>
              </w:numPr>
            </w:pPr>
            <w:r>
              <w:t>T</w:t>
            </w:r>
            <w:r w:rsidR="00A1216A" w:rsidRPr="00A1216A">
              <w:t>he analyst</w:t>
            </w:r>
            <w:r w:rsidR="00067477">
              <w:t xml:space="preserve"> will </w:t>
            </w:r>
            <w:r>
              <w:t xml:space="preserve">provide operational </w:t>
            </w:r>
            <w:r w:rsidR="00067477">
              <w:t>support</w:t>
            </w:r>
            <w:r w:rsidR="00AA5831">
              <w:t xml:space="preserve"> to</w:t>
            </w:r>
            <w:r w:rsidR="00067477">
              <w:t xml:space="preserve"> the Global Program implementing team </w:t>
            </w:r>
            <w:r>
              <w:t>in procuring and managing contracts of consultants and services; monitor and manage budgets</w:t>
            </w:r>
            <w:r w:rsidR="00AA5831">
              <w:t>; organizing and helping progress the work program and pursuing various tasks related to the Global Program.</w:t>
            </w:r>
          </w:p>
          <w:p w14:paraId="60F2DD11" w14:textId="77777777" w:rsidR="00E93DD3" w:rsidRDefault="00E93DD3" w:rsidP="00E93DD3">
            <w:pPr>
              <w:pStyle w:val="ListParagraph"/>
              <w:ind w:left="365"/>
              <w:jc w:val="left"/>
              <w:rPr>
                <w:rFonts w:ascii="Calibri" w:hAnsi="Calibri"/>
              </w:rPr>
            </w:pPr>
          </w:p>
          <w:p w14:paraId="4C3D264B" w14:textId="77777777" w:rsidR="00E93DD3" w:rsidRPr="00E93DD3" w:rsidRDefault="00E93DD3" w:rsidP="00E93DD3">
            <w:pPr>
              <w:pStyle w:val="ListParagraph"/>
              <w:numPr>
                <w:ilvl w:val="0"/>
                <w:numId w:val="10"/>
              </w:numPr>
              <w:jc w:val="left"/>
              <w:rPr>
                <w:rFonts w:ascii="Calibri" w:hAnsi="Calibri"/>
              </w:rPr>
            </w:pPr>
            <w:r w:rsidRPr="00E93DD3">
              <w:rPr>
                <w:rFonts w:ascii="Calibri" w:hAnsi="Calibri"/>
              </w:rPr>
              <w:t xml:space="preserve">The analyst will be responsible for maintaining and working with task teams to populate a Program monitoring system, Warehousing Expert Pool Registry and Contracts, Documents, Lessons Learned </w:t>
            </w:r>
          </w:p>
          <w:p w14:paraId="7433215F" w14:textId="77777777" w:rsidR="0046271D" w:rsidRDefault="0046271D" w:rsidP="0046271D">
            <w:pPr>
              <w:pStyle w:val="ListParagraph"/>
              <w:ind w:left="365"/>
            </w:pPr>
          </w:p>
          <w:p w14:paraId="2171B846" w14:textId="61E74E97" w:rsidR="00A1216A" w:rsidRPr="00A1216A" w:rsidRDefault="00AA5831" w:rsidP="0046271D">
            <w:pPr>
              <w:pStyle w:val="ListParagraph"/>
              <w:numPr>
                <w:ilvl w:val="0"/>
                <w:numId w:val="10"/>
              </w:numPr>
            </w:pPr>
            <w:r>
              <w:t xml:space="preserve">The analyst will provide logistics, coordination, research and analytical inputs </w:t>
            </w:r>
            <w:r w:rsidR="00F22E2B">
              <w:t xml:space="preserve">to </w:t>
            </w:r>
            <w:r w:rsidR="0046271D">
              <w:t>the implementation of the</w:t>
            </w:r>
            <w:r w:rsidR="00F22E2B">
              <w:t xml:space="preserve"> different</w:t>
            </w:r>
            <w:r w:rsidR="0046271D">
              <w:t xml:space="preserve"> Global program</w:t>
            </w:r>
            <w:r w:rsidR="00F22E2B">
              <w:t xml:space="preserve"> activitie</w:t>
            </w:r>
            <w:r w:rsidR="00E93DD3">
              <w:t>s including:</w:t>
            </w:r>
          </w:p>
          <w:p w14:paraId="22B71D37" w14:textId="77777777" w:rsidR="00A1216A" w:rsidRPr="00A1216A" w:rsidRDefault="00A1216A" w:rsidP="00A1216A">
            <w:pPr>
              <w:ind w:left="5"/>
              <w:rPr>
                <w:b/>
              </w:rPr>
            </w:pPr>
          </w:p>
          <w:p w14:paraId="1619F6DE" w14:textId="1053956E" w:rsidR="00A35A24" w:rsidRPr="00E93DD3" w:rsidRDefault="00F22E2B" w:rsidP="00E93DD3">
            <w:pPr>
              <w:pStyle w:val="ListParagraph"/>
              <w:numPr>
                <w:ilvl w:val="0"/>
                <w:numId w:val="21"/>
              </w:numPr>
              <w:contextualSpacing w:val="0"/>
              <w:jc w:val="left"/>
              <w:rPr>
                <w:rFonts w:ascii="Calibri" w:hAnsi="Calibri"/>
              </w:rPr>
            </w:pPr>
            <w:r w:rsidRPr="00E93DD3">
              <w:rPr>
                <w:rFonts w:ascii="Calibri" w:hAnsi="Calibri"/>
              </w:rPr>
              <w:lastRenderedPageBreak/>
              <w:t xml:space="preserve">Post </w:t>
            </w:r>
            <w:r w:rsidR="00A35A24" w:rsidRPr="00E93DD3">
              <w:rPr>
                <w:rFonts w:ascii="Calibri" w:hAnsi="Calibri"/>
              </w:rPr>
              <w:t>Practitioner’s Retreat</w:t>
            </w:r>
            <w:r w:rsidR="00312980" w:rsidRPr="00E93DD3">
              <w:rPr>
                <w:rFonts w:ascii="Calibri" w:hAnsi="Calibri"/>
              </w:rPr>
              <w:t xml:space="preserve"> </w:t>
            </w:r>
            <w:r w:rsidRPr="00E93DD3">
              <w:rPr>
                <w:rFonts w:ascii="Calibri" w:hAnsi="Calibri"/>
              </w:rPr>
              <w:t>Follow up</w:t>
            </w:r>
          </w:p>
          <w:p w14:paraId="4EA22161" w14:textId="77777777" w:rsidR="00E93DD3" w:rsidRPr="00E93DD3" w:rsidRDefault="00E93DD3" w:rsidP="00E93DD3">
            <w:pPr>
              <w:pStyle w:val="ListParagraph"/>
              <w:numPr>
                <w:ilvl w:val="0"/>
                <w:numId w:val="21"/>
              </w:numPr>
              <w:jc w:val="left"/>
              <w:rPr>
                <w:rFonts w:ascii="Calibri" w:hAnsi="Calibri" w:cs="Arial"/>
                <w:sz w:val="20"/>
                <w:szCs w:val="20"/>
              </w:rPr>
            </w:pPr>
            <w:r w:rsidRPr="00E93DD3">
              <w:rPr>
                <w:rFonts w:ascii="Calibri" w:hAnsi="Calibri"/>
              </w:rPr>
              <w:t>Development of the Operations Manual, Document Standardization and other Knowledge Products</w:t>
            </w:r>
          </w:p>
          <w:p w14:paraId="023E7F5C" w14:textId="212D3475" w:rsidR="00A35A24" w:rsidRPr="00E93DD3" w:rsidRDefault="00312980" w:rsidP="00E93DD3">
            <w:pPr>
              <w:pStyle w:val="ListParagraph"/>
              <w:numPr>
                <w:ilvl w:val="0"/>
                <w:numId w:val="21"/>
              </w:numPr>
              <w:jc w:val="left"/>
              <w:rPr>
                <w:rFonts w:ascii="Calibri" w:hAnsi="Calibri"/>
              </w:rPr>
            </w:pPr>
            <w:r w:rsidRPr="00E93DD3">
              <w:rPr>
                <w:rFonts w:ascii="Calibri" w:hAnsi="Calibri"/>
              </w:rPr>
              <w:t xml:space="preserve">Annual Planning </w:t>
            </w:r>
            <w:r w:rsidR="00E93DD3" w:rsidRPr="00E93DD3">
              <w:rPr>
                <w:rFonts w:ascii="Calibri" w:hAnsi="Calibri"/>
              </w:rPr>
              <w:t xml:space="preserve">and </w:t>
            </w:r>
            <w:r w:rsidR="00FF6B0A" w:rsidRPr="00E93DD3">
              <w:rPr>
                <w:rFonts w:ascii="Calibri" w:hAnsi="Calibri"/>
              </w:rPr>
              <w:t>Lessons Learning</w:t>
            </w:r>
            <w:r w:rsidRPr="00E93DD3">
              <w:rPr>
                <w:rFonts w:ascii="Calibri" w:hAnsi="Calibri"/>
              </w:rPr>
              <w:t xml:space="preserve"> </w:t>
            </w:r>
          </w:p>
          <w:p w14:paraId="24613A28" w14:textId="1F24D224" w:rsidR="0014583E" w:rsidRPr="00E93DD3" w:rsidRDefault="00E93DD3" w:rsidP="00E93DD3">
            <w:pPr>
              <w:pStyle w:val="ListParagraph"/>
              <w:numPr>
                <w:ilvl w:val="0"/>
                <w:numId w:val="21"/>
              </w:numPr>
              <w:jc w:val="left"/>
              <w:rPr>
                <w:rFonts w:ascii="Calibri" w:hAnsi="Calibri"/>
              </w:rPr>
            </w:pPr>
            <w:r w:rsidRPr="00E93DD3">
              <w:rPr>
                <w:rFonts w:ascii="Calibri" w:hAnsi="Calibri"/>
              </w:rPr>
              <w:t>Various training activities that will be delivered under the Program</w:t>
            </w:r>
          </w:p>
          <w:p w14:paraId="44F56D0B" w14:textId="77777777" w:rsidR="0014583E" w:rsidRPr="0014583E" w:rsidRDefault="0014583E" w:rsidP="0014583E">
            <w:pPr>
              <w:pStyle w:val="ListParagraph"/>
              <w:rPr>
                <w:rFonts w:ascii="Calibri" w:hAnsi="Calibri"/>
                <w:b/>
              </w:rPr>
            </w:pPr>
          </w:p>
          <w:p w14:paraId="01D63482" w14:textId="45462C94" w:rsidR="0014583E" w:rsidRDefault="00F07502" w:rsidP="0014583E">
            <w:pPr>
              <w:pStyle w:val="ListParagraph"/>
              <w:numPr>
                <w:ilvl w:val="0"/>
                <w:numId w:val="10"/>
              </w:numPr>
              <w:jc w:val="left"/>
              <w:rPr>
                <w:rFonts w:ascii="Calibri" w:hAnsi="Calibri"/>
                <w:b/>
              </w:rPr>
            </w:pPr>
            <w:r>
              <w:rPr>
                <w:rFonts w:ascii="Calibri" w:hAnsi="Calibri"/>
              </w:rPr>
              <w:t xml:space="preserve">The Program Analyst will work with the task team to contribute to the learning networks under the Capacity Building and Engagement of Private Sector Companies Component by developing and adding dialogue to the PPP Knowledge Platform </w:t>
            </w:r>
            <w:r w:rsidR="00E93DD3">
              <w:rPr>
                <w:rFonts w:ascii="Calibri" w:hAnsi="Calibri"/>
              </w:rPr>
              <w:t xml:space="preserve">and the planned Program portal </w:t>
            </w:r>
            <w:r>
              <w:rPr>
                <w:rFonts w:ascii="Calibri" w:hAnsi="Calibri"/>
              </w:rPr>
              <w:t>as needed.</w:t>
            </w:r>
          </w:p>
          <w:p w14:paraId="59391CBE" w14:textId="77777777" w:rsidR="0014583E" w:rsidRPr="0014583E" w:rsidRDefault="0014583E" w:rsidP="0014583E">
            <w:pPr>
              <w:pStyle w:val="ListParagraph"/>
              <w:rPr>
                <w:rFonts w:ascii="Calibri" w:hAnsi="Calibri"/>
                <w:b/>
              </w:rPr>
            </w:pPr>
          </w:p>
          <w:p w14:paraId="1D04D25D" w14:textId="348B69AF" w:rsidR="00A1216A" w:rsidRDefault="00A1216A" w:rsidP="00A1216A">
            <w:pPr>
              <w:rPr>
                <w:rFonts w:ascii="Calibri" w:hAnsi="Calibri"/>
                <w:b/>
              </w:rPr>
            </w:pPr>
            <w:r>
              <w:rPr>
                <w:rFonts w:ascii="Calibri" w:hAnsi="Calibri"/>
                <w:b/>
              </w:rPr>
              <w:t xml:space="preserve">PPIAF Support </w:t>
            </w:r>
            <w:r w:rsidR="00230561">
              <w:rPr>
                <w:rFonts w:ascii="Calibri" w:hAnsi="Calibri"/>
                <w:b/>
              </w:rPr>
              <w:t xml:space="preserve"> (</w:t>
            </w:r>
            <w:r w:rsidR="004C705D">
              <w:rPr>
                <w:rFonts w:ascii="Calibri" w:hAnsi="Calibri"/>
                <w:b/>
              </w:rPr>
              <w:t>24-30</w:t>
            </w:r>
            <w:r w:rsidR="00230561">
              <w:rPr>
                <w:rFonts w:ascii="Calibri" w:hAnsi="Calibri"/>
                <w:b/>
              </w:rPr>
              <w:t xml:space="preserve"> days</w:t>
            </w:r>
            <w:r w:rsidR="00126C65">
              <w:rPr>
                <w:rFonts w:ascii="Calibri" w:hAnsi="Calibri"/>
                <w:b/>
              </w:rPr>
              <w:t xml:space="preserve"> per 12 months</w:t>
            </w:r>
            <w:r w:rsidR="00230561">
              <w:rPr>
                <w:rFonts w:ascii="Calibri" w:hAnsi="Calibri"/>
                <w:b/>
              </w:rPr>
              <w:t>)</w:t>
            </w:r>
          </w:p>
          <w:p w14:paraId="2236057E" w14:textId="77777777" w:rsidR="00A1216A" w:rsidRPr="00A1216A" w:rsidRDefault="00A1216A" w:rsidP="00A1216A">
            <w:pPr>
              <w:rPr>
                <w:rFonts w:ascii="Calibri" w:hAnsi="Calibri"/>
                <w:b/>
              </w:rPr>
            </w:pPr>
          </w:p>
          <w:p w14:paraId="77365116" w14:textId="77777777" w:rsidR="00E93BE4" w:rsidRDefault="00A1216A" w:rsidP="00046C89">
            <w:pPr>
              <w:pStyle w:val="ListParagraph"/>
              <w:numPr>
                <w:ilvl w:val="0"/>
                <w:numId w:val="10"/>
              </w:numPr>
            </w:pPr>
            <w:r>
              <w:t xml:space="preserve">The analyst will contribute </w:t>
            </w:r>
            <w:r w:rsidRPr="00D05F89">
              <w:t xml:space="preserve">to </w:t>
            </w:r>
          </w:p>
          <w:p w14:paraId="208BA39A" w14:textId="3372316F" w:rsidR="00E93BE4" w:rsidRDefault="00E93BE4" w:rsidP="00E93BE4">
            <w:pPr>
              <w:pStyle w:val="ListParagraph"/>
              <w:numPr>
                <w:ilvl w:val="1"/>
                <w:numId w:val="10"/>
              </w:numPr>
            </w:pPr>
            <w:proofErr w:type="spellStart"/>
            <w:r>
              <w:t>proccessing</w:t>
            </w:r>
            <w:proofErr w:type="spellEnd"/>
            <w:r>
              <w:t xml:space="preserve"> PPIAF water (includes water supply, wastewater &amp; sanitation, irrigation and solid waste) grant applications: </w:t>
            </w:r>
            <w:r w:rsidRPr="00D05F89">
              <w:t>origination, design and preparation</w:t>
            </w:r>
            <w:r>
              <w:t xml:space="preserve">, and supporting application </w:t>
            </w:r>
          </w:p>
          <w:p w14:paraId="0ADBD06D" w14:textId="77777777" w:rsidR="00E93BE4" w:rsidRDefault="00E93BE4" w:rsidP="00E93BE4">
            <w:pPr>
              <w:pStyle w:val="ListParagraph"/>
              <w:numPr>
                <w:ilvl w:val="1"/>
                <w:numId w:val="10"/>
              </w:numPr>
            </w:pPr>
            <w:r>
              <w:t>supporting implementation, monitoring and reporting on PPIAF water activities, including contribution to quarterly Portfolio Implementation Reviews</w:t>
            </w:r>
          </w:p>
          <w:p w14:paraId="0E61BE9C" w14:textId="438E1A46" w:rsidR="00A1216A" w:rsidRDefault="00A1216A" w:rsidP="00E93BE4">
            <w:pPr>
              <w:pStyle w:val="ListParagraph"/>
              <w:numPr>
                <w:ilvl w:val="1"/>
                <w:numId w:val="10"/>
              </w:numPr>
            </w:pPr>
            <w:r w:rsidRPr="00D05F89">
              <w:t xml:space="preserve">researching topics in the water sector and drafting repurposed knowledge products and issue briefs </w:t>
            </w:r>
          </w:p>
          <w:p w14:paraId="3EDF4AD0" w14:textId="29290892" w:rsidR="00E93BE4" w:rsidRPr="00D05F89" w:rsidRDefault="00E93BE4" w:rsidP="00E93BE4">
            <w:pPr>
              <w:pStyle w:val="ListParagraph"/>
              <w:numPr>
                <w:ilvl w:val="1"/>
                <w:numId w:val="10"/>
              </w:numPr>
            </w:pPr>
            <w:r>
              <w:t>participate in 2-monthly PPIAF review meetings, particularly where water activities will be discussed</w:t>
            </w:r>
          </w:p>
          <w:p w14:paraId="56DA2C34" w14:textId="77777777" w:rsidR="00A1216A" w:rsidRDefault="00A1216A" w:rsidP="00A1216A">
            <w:pPr>
              <w:ind w:left="5"/>
            </w:pPr>
          </w:p>
          <w:p w14:paraId="3A2FA2BE" w14:textId="12325E3E" w:rsidR="00A1216A" w:rsidRPr="004C705D" w:rsidRDefault="00E93BE4" w:rsidP="002A7046">
            <w:pPr>
              <w:pStyle w:val="ListParagraph"/>
              <w:numPr>
                <w:ilvl w:val="0"/>
                <w:numId w:val="10"/>
              </w:numPr>
              <w:jc w:val="left"/>
              <w:rPr>
                <w:rFonts w:ascii="Calibri" w:hAnsi="Calibri"/>
                <w:b/>
              </w:rPr>
            </w:pPr>
            <w:r>
              <w:t>On an ‘as needs’ basis, t</w:t>
            </w:r>
            <w:r w:rsidR="00A1216A" w:rsidRPr="001412B8">
              <w:t xml:space="preserve">he </w:t>
            </w:r>
            <w:r>
              <w:t xml:space="preserve">analyst </w:t>
            </w:r>
            <w:r w:rsidR="00A1216A" w:rsidRPr="001412B8">
              <w:t xml:space="preserve">will assist the PPIAF </w:t>
            </w:r>
            <w:proofErr w:type="spellStart"/>
            <w:r>
              <w:t>Sr</w:t>
            </w:r>
            <w:proofErr w:type="spellEnd"/>
            <w:r>
              <w:t xml:space="preserve"> Infrastructure </w:t>
            </w:r>
            <w:r w:rsidR="00A1216A" w:rsidRPr="001412B8">
              <w:t xml:space="preserve">Specialist </w:t>
            </w:r>
            <w:r>
              <w:t xml:space="preserve">and the Municipal Specialist in similar activities to the above for the PPIAF Sub-national TA Program </w:t>
            </w:r>
            <w:r w:rsidR="004C705D">
              <w:t xml:space="preserve">and backstop </w:t>
            </w:r>
            <w:r>
              <w:t xml:space="preserve">the current SNTA program coordinator </w:t>
            </w:r>
            <w:r w:rsidR="004C705D">
              <w:t xml:space="preserve">during periods with heavier </w:t>
            </w:r>
            <w:r>
              <w:t>workload</w:t>
            </w:r>
          </w:p>
          <w:p w14:paraId="315637C8" w14:textId="77777777" w:rsidR="004C705D" w:rsidRDefault="004C705D" w:rsidP="004C705D">
            <w:pPr>
              <w:ind w:left="5"/>
              <w:jc w:val="left"/>
              <w:rPr>
                <w:rFonts w:ascii="Calibri" w:hAnsi="Calibri"/>
                <w:b/>
              </w:rPr>
            </w:pPr>
          </w:p>
          <w:p w14:paraId="5F7F3013" w14:textId="748FC123" w:rsidR="004C705D" w:rsidRDefault="004C705D" w:rsidP="004C705D">
            <w:pPr>
              <w:rPr>
                <w:rFonts w:ascii="Calibri" w:hAnsi="Calibri"/>
                <w:b/>
              </w:rPr>
            </w:pPr>
            <w:r>
              <w:rPr>
                <w:rFonts w:ascii="Calibri" w:hAnsi="Calibri"/>
                <w:b/>
              </w:rPr>
              <w:t>Other PPP Water Activities</w:t>
            </w:r>
            <w:r w:rsidR="0098123F">
              <w:rPr>
                <w:rFonts w:ascii="Calibri" w:hAnsi="Calibri"/>
                <w:b/>
              </w:rPr>
              <w:t xml:space="preserve"> (25</w:t>
            </w:r>
            <w:r w:rsidR="00126C65">
              <w:rPr>
                <w:rFonts w:ascii="Calibri" w:hAnsi="Calibri"/>
                <w:b/>
              </w:rPr>
              <w:t xml:space="preserve"> days per 12 months)</w:t>
            </w:r>
          </w:p>
          <w:p w14:paraId="1096C76B" w14:textId="77777777" w:rsidR="004C705D" w:rsidRDefault="004C705D" w:rsidP="004C705D">
            <w:pPr>
              <w:rPr>
                <w:rFonts w:ascii="Calibri" w:hAnsi="Calibri"/>
                <w:b/>
              </w:rPr>
            </w:pPr>
          </w:p>
          <w:p w14:paraId="4E15C119" w14:textId="2C846BE2" w:rsidR="004C705D" w:rsidRDefault="004C705D" w:rsidP="004C705D">
            <w:pPr>
              <w:pStyle w:val="ListParagraph"/>
              <w:numPr>
                <w:ilvl w:val="0"/>
                <w:numId w:val="10"/>
              </w:numPr>
              <w:rPr>
                <w:rFonts w:ascii="Calibri" w:hAnsi="Calibri"/>
              </w:rPr>
            </w:pPr>
            <w:r w:rsidRPr="004C705D">
              <w:rPr>
                <w:rFonts w:ascii="Calibri" w:hAnsi="Calibri"/>
              </w:rPr>
              <w:t xml:space="preserve"> The </w:t>
            </w:r>
            <w:r>
              <w:rPr>
                <w:rFonts w:ascii="Calibri" w:hAnsi="Calibri"/>
              </w:rPr>
              <w:t xml:space="preserve">analyst will support the Water PPP </w:t>
            </w:r>
            <w:proofErr w:type="spellStart"/>
            <w:r>
              <w:rPr>
                <w:rFonts w:ascii="Calibri" w:hAnsi="Calibri"/>
              </w:rPr>
              <w:t>CoP</w:t>
            </w:r>
            <w:proofErr w:type="spellEnd"/>
            <w:r>
              <w:rPr>
                <w:rFonts w:ascii="Calibri" w:hAnsi="Calibri"/>
              </w:rPr>
              <w:t xml:space="preserve"> Core in updating the </w:t>
            </w:r>
            <w:proofErr w:type="spellStart"/>
            <w:r>
              <w:rPr>
                <w:rFonts w:ascii="Calibri" w:hAnsi="Calibri"/>
              </w:rPr>
              <w:t>CoP</w:t>
            </w:r>
            <w:proofErr w:type="spellEnd"/>
            <w:r>
              <w:rPr>
                <w:rFonts w:ascii="Calibri" w:hAnsi="Calibri"/>
              </w:rPr>
              <w:t xml:space="preserve"> Spark Pages; assist in organizing learning events; track and follow up PPP </w:t>
            </w:r>
            <w:proofErr w:type="spellStart"/>
            <w:r>
              <w:rPr>
                <w:rFonts w:ascii="Calibri" w:hAnsi="Calibri"/>
              </w:rPr>
              <w:t>CoP</w:t>
            </w:r>
            <w:proofErr w:type="spellEnd"/>
            <w:r w:rsidR="0098123F">
              <w:rPr>
                <w:rFonts w:ascii="Calibri" w:hAnsi="Calibri"/>
              </w:rPr>
              <w:t xml:space="preserve"> activities and supporting PPP research for the Water PPP </w:t>
            </w:r>
            <w:proofErr w:type="spellStart"/>
            <w:r w:rsidR="0098123F">
              <w:rPr>
                <w:rFonts w:ascii="Calibri" w:hAnsi="Calibri"/>
              </w:rPr>
              <w:t>CoP</w:t>
            </w:r>
            <w:proofErr w:type="spellEnd"/>
            <w:r w:rsidR="0098123F">
              <w:rPr>
                <w:rFonts w:ascii="Calibri" w:hAnsi="Calibri"/>
              </w:rPr>
              <w:t xml:space="preserve"> Core Team (around 15</w:t>
            </w:r>
            <w:r w:rsidR="009F7A84">
              <w:rPr>
                <w:rFonts w:ascii="Calibri" w:hAnsi="Calibri"/>
              </w:rPr>
              <w:t xml:space="preserve"> days)</w:t>
            </w:r>
          </w:p>
          <w:p w14:paraId="39B3EDCF" w14:textId="77777777" w:rsidR="009F7A84" w:rsidRDefault="009F7A84" w:rsidP="009F7A84">
            <w:pPr>
              <w:pStyle w:val="ListParagraph"/>
              <w:ind w:left="365"/>
              <w:rPr>
                <w:rFonts w:ascii="Calibri" w:hAnsi="Calibri"/>
              </w:rPr>
            </w:pPr>
          </w:p>
          <w:p w14:paraId="21376DAD" w14:textId="2ECDE985" w:rsidR="004C705D" w:rsidRPr="004C705D" w:rsidRDefault="009F7A84" w:rsidP="004C705D">
            <w:pPr>
              <w:pStyle w:val="ListParagraph"/>
              <w:numPr>
                <w:ilvl w:val="0"/>
                <w:numId w:val="10"/>
              </w:numPr>
              <w:rPr>
                <w:rFonts w:ascii="Calibri" w:hAnsi="Calibri"/>
              </w:rPr>
            </w:pPr>
            <w:r>
              <w:rPr>
                <w:rFonts w:ascii="Calibri" w:hAnsi="Calibri"/>
              </w:rPr>
              <w:t>The analyst will support the Sr. Industry Specialist at the PPP CCSA with various TA and Investment Lending activ</w:t>
            </w:r>
            <w:r w:rsidR="0098123F">
              <w:rPr>
                <w:rFonts w:ascii="Calibri" w:hAnsi="Calibri"/>
              </w:rPr>
              <w:t>ities (around 10</w:t>
            </w:r>
            <w:r>
              <w:rPr>
                <w:rFonts w:ascii="Calibri" w:hAnsi="Calibri"/>
              </w:rPr>
              <w:t xml:space="preserve"> days)</w:t>
            </w:r>
          </w:p>
          <w:p w14:paraId="1BE2B506" w14:textId="77777777" w:rsidR="004C705D" w:rsidRPr="004C705D" w:rsidRDefault="004C705D" w:rsidP="004C705D">
            <w:pPr>
              <w:ind w:left="5"/>
              <w:jc w:val="left"/>
              <w:rPr>
                <w:rFonts w:ascii="Calibri" w:hAnsi="Calibri"/>
                <w:b/>
              </w:rPr>
            </w:pPr>
          </w:p>
          <w:p w14:paraId="7CE7104B" w14:textId="214F36F7" w:rsidR="00015C7F" w:rsidRPr="003F54EF" w:rsidRDefault="00015C7F" w:rsidP="005C0EE7">
            <w:pPr>
              <w:jc w:val="left"/>
            </w:pPr>
          </w:p>
        </w:tc>
      </w:tr>
      <w:tr w:rsidR="00397121" w:rsidRPr="00C03FB7" w14:paraId="6E6A4C72" w14:textId="77777777" w:rsidTr="00322124">
        <w:trPr>
          <w:trHeight w:val="1340"/>
          <w:jc w:val="center"/>
        </w:trPr>
        <w:tc>
          <w:tcPr>
            <w:tcW w:w="9350" w:type="dxa"/>
          </w:tcPr>
          <w:p w14:paraId="20BAAE9E" w14:textId="6D52C2C1" w:rsidR="00397121" w:rsidRPr="00D379CE" w:rsidRDefault="00397121" w:rsidP="00322124">
            <w:pPr>
              <w:pStyle w:val="ListParagraph"/>
              <w:numPr>
                <w:ilvl w:val="0"/>
                <w:numId w:val="1"/>
              </w:numPr>
              <w:rPr>
                <w:b/>
              </w:rPr>
            </w:pPr>
            <w:r w:rsidRPr="00D379CE">
              <w:rPr>
                <w:b/>
              </w:rPr>
              <w:lastRenderedPageBreak/>
              <w:t xml:space="preserve">DELIVERABLES/SPECIFIC OUTPUTS EXPECTED FROM </w:t>
            </w:r>
            <w:r w:rsidR="005F562A" w:rsidRPr="00D379CE">
              <w:rPr>
                <w:b/>
              </w:rPr>
              <w:t>ASSIGNMENT</w:t>
            </w:r>
          </w:p>
          <w:p w14:paraId="1DB5C02A" w14:textId="77777777" w:rsidR="00D2629D" w:rsidRDefault="00D2629D" w:rsidP="00106E91">
            <w:pPr>
              <w:ind w:left="5"/>
            </w:pPr>
          </w:p>
          <w:p w14:paraId="0F1DDC35" w14:textId="25768895" w:rsidR="009F7A84" w:rsidRDefault="00367501" w:rsidP="009F7A84">
            <w:r>
              <w:t xml:space="preserve">The outputs will be defined </w:t>
            </w:r>
            <w:r w:rsidR="009F7A84">
              <w:t xml:space="preserve">periodically </w:t>
            </w:r>
            <w:r>
              <w:t xml:space="preserve">and agreed to with the task team. A detailed schedule of deliverables </w:t>
            </w:r>
            <w:r w:rsidR="00214FD0">
              <w:t>and level of</w:t>
            </w:r>
            <w:r w:rsidR="00F77021">
              <w:t xml:space="preserve"> </w:t>
            </w:r>
            <w:r w:rsidR="00214FD0">
              <w:t xml:space="preserve">effort </w:t>
            </w:r>
            <w:r>
              <w:t xml:space="preserve">will be agreed upon prior to the launch of each component. </w:t>
            </w:r>
            <w:r w:rsidR="009F7A84">
              <w:t xml:space="preserve">A general minimum level of effort of </w:t>
            </w:r>
            <w:r w:rsidR="0086751E">
              <w:t>5 days a month will be expected, and some months will be more intensive.</w:t>
            </w:r>
          </w:p>
          <w:p w14:paraId="1504A63E" w14:textId="77777777" w:rsidR="00E079B9" w:rsidRPr="00C03FB7" w:rsidRDefault="00E079B9" w:rsidP="009F7A84">
            <w:pPr>
              <w:ind w:left="5"/>
            </w:pPr>
          </w:p>
        </w:tc>
      </w:tr>
      <w:tr w:rsidR="00322124" w:rsidRPr="0057689D" w14:paraId="69CD7835" w14:textId="77777777" w:rsidTr="00322124">
        <w:trPr>
          <w:trHeight w:val="1619"/>
          <w:jc w:val="center"/>
        </w:trPr>
        <w:tc>
          <w:tcPr>
            <w:tcW w:w="9350" w:type="dxa"/>
          </w:tcPr>
          <w:p w14:paraId="3B01C96E" w14:textId="77777777" w:rsidR="00322124" w:rsidRPr="0057689D" w:rsidRDefault="00322124" w:rsidP="00322124">
            <w:pPr>
              <w:pStyle w:val="ListParagraph"/>
              <w:numPr>
                <w:ilvl w:val="0"/>
                <w:numId w:val="1"/>
              </w:numPr>
              <w:rPr>
                <w:b/>
              </w:rPr>
            </w:pPr>
            <w:r w:rsidRPr="0057689D">
              <w:rPr>
                <w:b/>
              </w:rPr>
              <w:lastRenderedPageBreak/>
              <w:t>SPECIFIC INPUTS TO BE PRESENTED BY THE CLIENT</w:t>
            </w:r>
          </w:p>
          <w:p w14:paraId="4E994A8A" w14:textId="57D54596" w:rsidR="00322124" w:rsidRPr="0057689D" w:rsidRDefault="00322124" w:rsidP="00106E91">
            <w:pPr>
              <w:autoSpaceDE w:val="0"/>
              <w:autoSpaceDN w:val="0"/>
              <w:adjustRightInd w:val="0"/>
              <w:spacing w:after="120"/>
              <w:rPr>
                <w:bCs/>
                <w:lang w:val="en-GB"/>
              </w:rPr>
            </w:pPr>
            <w:r w:rsidRPr="0057689D">
              <w:rPr>
                <w:bCs/>
                <w:lang w:val="en-GB"/>
              </w:rPr>
              <w:t xml:space="preserve">The World Bank will make available all relevant documents provided by its Client and other organizations.  </w:t>
            </w:r>
          </w:p>
        </w:tc>
      </w:tr>
      <w:tr w:rsidR="00322124" w:rsidRPr="0057689D" w14:paraId="49BF0225" w14:textId="77777777" w:rsidTr="00175644">
        <w:trPr>
          <w:trHeight w:val="620"/>
          <w:jc w:val="center"/>
        </w:trPr>
        <w:tc>
          <w:tcPr>
            <w:tcW w:w="9350" w:type="dxa"/>
          </w:tcPr>
          <w:p w14:paraId="0A896E8F" w14:textId="11AEC44C" w:rsidR="00322124" w:rsidRPr="0057689D" w:rsidRDefault="00322124" w:rsidP="00322124">
            <w:pPr>
              <w:pStyle w:val="ListParagraph"/>
              <w:numPr>
                <w:ilvl w:val="0"/>
                <w:numId w:val="1"/>
              </w:numPr>
              <w:rPr>
                <w:b/>
              </w:rPr>
            </w:pPr>
            <w:r w:rsidRPr="0057689D">
              <w:rPr>
                <w:b/>
              </w:rPr>
              <w:t>SPECIAL TERMS &amp; CONDITIONS / SPECIFIC CRITERIA</w:t>
            </w:r>
          </w:p>
          <w:p w14:paraId="55632D9A" w14:textId="5119D8E3" w:rsidR="00322124" w:rsidRPr="0057689D" w:rsidRDefault="009F7A84" w:rsidP="008C54B7">
            <w:pPr>
              <w:autoSpaceDE w:val="0"/>
              <w:autoSpaceDN w:val="0"/>
              <w:adjustRightInd w:val="0"/>
              <w:spacing w:after="120"/>
              <w:rPr>
                <w:iCs/>
                <w:lang w:val="en-GB"/>
              </w:rPr>
            </w:pPr>
            <w:r>
              <w:rPr>
                <w:iCs/>
                <w:lang w:val="en-GB"/>
              </w:rPr>
              <w:t>There may be need to travel to outside of USA.  Costs for travel will be covered by the World Bank according to its regular policies.</w:t>
            </w:r>
          </w:p>
          <w:p w14:paraId="58D95BFD" w14:textId="77777777" w:rsidR="00322124" w:rsidRPr="0057689D" w:rsidRDefault="00322124" w:rsidP="008C54B7">
            <w:pPr>
              <w:rPr>
                <w:b/>
              </w:rPr>
            </w:pPr>
            <w:r w:rsidRPr="0057689D">
              <w:rPr>
                <w:b/>
              </w:rPr>
              <w:t>Timing/Assignment Duration</w:t>
            </w:r>
          </w:p>
          <w:p w14:paraId="25AADA18" w14:textId="32962DD1" w:rsidR="00322124" w:rsidRPr="0057689D" w:rsidRDefault="00322124" w:rsidP="008C54B7">
            <w:r w:rsidRPr="0057689D">
              <w:t xml:space="preserve">The Consultancy will start on </w:t>
            </w:r>
            <w:r w:rsidR="00367501">
              <w:t>1</w:t>
            </w:r>
            <w:r w:rsidR="009F7A84">
              <w:t>5</w:t>
            </w:r>
            <w:r w:rsidR="00106E91">
              <w:t xml:space="preserve"> </w:t>
            </w:r>
            <w:r w:rsidR="009F7A84">
              <w:t xml:space="preserve">July </w:t>
            </w:r>
            <w:r w:rsidR="00106E91">
              <w:t>2016</w:t>
            </w:r>
            <w:r w:rsidR="00391288">
              <w:t>.</w:t>
            </w:r>
          </w:p>
          <w:p w14:paraId="267D94C0" w14:textId="77777777" w:rsidR="00322124" w:rsidRPr="0057689D" w:rsidRDefault="00322124" w:rsidP="008C54B7">
            <w:pPr>
              <w:rPr>
                <w:b/>
              </w:rPr>
            </w:pPr>
          </w:p>
          <w:p w14:paraId="3AC04EE9" w14:textId="77777777" w:rsidR="00322124" w:rsidRPr="0057689D" w:rsidRDefault="00322124" w:rsidP="008C54B7">
            <w:pPr>
              <w:rPr>
                <w:b/>
              </w:rPr>
            </w:pPr>
            <w:r w:rsidRPr="0057689D">
              <w:rPr>
                <w:b/>
              </w:rPr>
              <w:t>Reporting</w:t>
            </w:r>
          </w:p>
          <w:p w14:paraId="7EA00D38" w14:textId="4B71A215" w:rsidR="00322124" w:rsidRPr="0057689D" w:rsidRDefault="00322124" w:rsidP="008C54B7">
            <w:r w:rsidRPr="0057689D">
              <w:t xml:space="preserve">The </w:t>
            </w:r>
            <w:r w:rsidR="00367501">
              <w:t>Program Analyst</w:t>
            </w:r>
            <w:r w:rsidRPr="0057689D">
              <w:t xml:space="preserve"> will report to </w:t>
            </w:r>
            <w:r w:rsidR="009F7A84">
              <w:t xml:space="preserve">Jemima Sy (GCPPP) and </w:t>
            </w:r>
            <w:r w:rsidR="00391288" w:rsidRPr="001E755C">
              <w:t xml:space="preserve">Gerard Soppe (GWADR) </w:t>
            </w:r>
            <w:r w:rsidRPr="0057689D">
              <w:t xml:space="preserve">based in </w:t>
            </w:r>
            <w:r w:rsidR="00391288">
              <w:t xml:space="preserve">Washington DC </w:t>
            </w:r>
            <w:r w:rsidRPr="0057689D">
              <w:t xml:space="preserve">who will coordinate with the other members of the World Bank Task Team. </w:t>
            </w:r>
            <w:r w:rsidR="006D09EE">
              <w:t xml:space="preserve"> On Specific Tasks, the Program Analyst will report to other members of the PPP </w:t>
            </w:r>
            <w:proofErr w:type="spellStart"/>
            <w:r w:rsidR="006D09EE">
              <w:t>CoP</w:t>
            </w:r>
            <w:proofErr w:type="spellEnd"/>
            <w:r w:rsidR="006D09EE">
              <w:t xml:space="preserve"> Core Team (Philippe Marin, Jane Jamieson, Victoria Delmon and William Kingdom).</w:t>
            </w:r>
          </w:p>
          <w:p w14:paraId="5D280F9C" w14:textId="77777777" w:rsidR="00322124" w:rsidRPr="0057689D" w:rsidRDefault="00322124" w:rsidP="008C54B7">
            <w:pPr>
              <w:rPr>
                <w:color w:val="FF0000"/>
              </w:rPr>
            </w:pPr>
          </w:p>
          <w:p w14:paraId="37C5F5AD" w14:textId="0A57211D" w:rsidR="00EA5EA3" w:rsidRPr="001E755C" w:rsidRDefault="00322124" w:rsidP="001E755C">
            <w:pPr>
              <w:rPr>
                <w:b/>
              </w:rPr>
            </w:pPr>
            <w:r w:rsidRPr="0057689D">
              <w:rPr>
                <w:b/>
              </w:rPr>
              <w:t>Payment Schedule</w:t>
            </w:r>
          </w:p>
          <w:p w14:paraId="7E9CF467" w14:textId="5C4AAA8C" w:rsidR="00322124" w:rsidRPr="001E755C" w:rsidRDefault="001E755C" w:rsidP="008C54B7">
            <w:r w:rsidRPr="001E755C">
              <w:t>Based</w:t>
            </w:r>
            <w:r>
              <w:t xml:space="preserve"> on pre-agreed work program, tasks and levels of efforts, payments will be made against outputs produced as required.</w:t>
            </w:r>
          </w:p>
          <w:p w14:paraId="4B9E0D5B" w14:textId="77777777" w:rsidR="001E755C" w:rsidRPr="0057689D" w:rsidRDefault="001E755C" w:rsidP="008C54B7">
            <w:pPr>
              <w:rPr>
                <w:color w:val="FF0000"/>
              </w:rPr>
            </w:pPr>
          </w:p>
          <w:p w14:paraId="665900E3" w14:textId="77777777" w:rsidR="00322124" w:rsidRPr="0057689D" w:rsidRDefault="00322124" w:rsidP="008C54B7">
            <w:pPr>
              <w:rPr>
                <w:b/>
              </w:rPr>
            </w:pPr>
            <w:r w:rsidRPr="0057689D">
              <w:rPr>
                <w:b/>
              </w:rPr>
              <w:t>Required Qualifications and Experience</w:t>
            </w:r>
          </w:p>
          <w:p w14:paraId="5AACBFAB" w14:textId="7F53B42C" w:rsidR="00106E91" w:rsidRDefault="00367501" w:rsidP="008C54B7">
            <w:r>
              <w:t>The program analyst will require:</w:t>
            </w:r>
          </w:p>
          <w:p w14:paraId="2148EB80" w14:textId="51CB44EF" w:rsidR="00367501" w:rsidRPr="00367501" w:rsidRDefault="00367501" w:rsidP="00367501">
            <w:pPr>
              <w:pStyle w:val="Outline"/>
              <w:numPr>
                <w:ilvl w:val="0"/>
                <w:numId w:val="17"/>
              </w:numPr>
              <w:spacing w:before="0"/>
              <w:jc w:val="both"/>
              <w:rPr>
                <w:rFonts w:asciiTheme="minorHAnsi" w:eastAsiaTheme="minorHAnsi" w:hAnsiTheme="minorHAnsi" w:cstheme="minorBidi"/>
                <w:kern w:val="0"/>
                <w:sz w:val="22"/>
                <w:szCs w:val="22"/>
              </w:rPr>
            </w:pPr>
            <w:r w:rsidRPr="00367501">
              <w:rPr>
                <w:rFonts w:asciiTheme="minorHAnsi" w:eastAsiaTheme="minorHAnsi" w:hAnsiTheme="minorHAnsi" w:cstheme="minorBidi"/>
                <w:kern w:val="0"/>
                <w:sz w:val="22"/>
                <w:szCs w:val="22"/>
              </w:rPr>
              <w:t xml:space="preserve">A graduate degree in </w:t>
            </w:r>
            <w:r w:rsidR="009F7A84">
              <w:rPr>
                <w:rFonts w:asciiTheme="minorHAnsi" w:eastAsiaTheme="minorHAnsi" w:hAnsiTheme="minorHAnsi" w:cstheme="minorBidi"/>
                <w:kern w:val="0"/>
                <w:sz w:val="22"/>
                <w:szCs w:val="22"/>
              </w:rPr>
              <w:t xml:space="preserve">finance, </w:t>
            </w:r>
            <w:r w:rsidRPr="00367501">
              <w:rPr>
                <w:rFonts w:asciiTheme="minorHAnsi" w:eastAsiaTheme="minorHAnsi" w:hAnsiTheme="minorHAnsi" w:cstheme="minorBidi"/>
                <w:kern w:val="0"/>
                <w:sz w:val="22"/>
                <w:szCs w:val="22"/>
              </w:rPr>
              <w:t xml:space="preserve">economics, </w:t>
            </w:r>
            <w:r w:rsidR="009F7A84">
              <w:rPr>
                <w:rFonts w:asciiTheme="minorHAnsi" w:eastAsiaTheme="minorHAnsi" w:hAnsiTheme="minorHAnsi" w:cstheme="minorBidi"/>
                <w:kern w:val="0"/>
                <w:sz w:val="22"/>
                <w:szCs w:val="22"/>
              </w:rPr>
              <w:t xml:space="preserve">or engineering </w:t>
            </w:r>
          </w:p>
          <w:p w14:paraId="7E318563" w14:textId="27873D92" w:rsidR="00367501" w:rsidRDefault="000610D2" w:rsidP="00367501">
            <w:pPr>
              <w:pStyle w:val="Outline"/>
              <w:numPr>
                <w:ilvl w:val="0"/>
                <w:numId w:val="17"/>
              </w:numPr>
              <w:spacing w:before="0"/>
              <w:jc w:val="both"/>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At least 2 years’ e</w:t>
            </w:r>
            <w:r w:rsidR="00367501" w:rsidRPr="00367501">
              <w:rPr>
                <w:rFonts w:asciiTheme="minorHAnsi" w:eastAsiaTheme="minorHAnsi" w:hAnsiTheme="minorHAnsi" w:cstheme="minorBidi"/>
                <w:kern w:val="0"/>
                <w:sz w:val="22"/>
                <w:szCs w:val="22"/>
              </w:rPr>
              <w:t>xperience in water sector activities in developing countries</w:t>
            </w:r>
          </w:p>
          <w:p w14:paraId="4BA5074F" w14:textId="77777777" w:rsidR="00126C65" w:rsidRPr="00367501" w:rsidRDefault="00126C65" w:rsidP="00126C65">
            <w:pPr>
              <w:pStyle w:val="Outline"/>
              <w:numPr>
                <w:ilvl w:val="0"/>
                <w:numId w:val="17"/>
              </w:numPr>
              <w:spacing w:before="0"/>
              <w:jc w:val="both"/>
              <w:rPr>
                <w:rFonts w:asciiTheme="minorHAnsi" w:eastAsiaTheme="minorHAnsi" w:hAnsiTheme="minorHAnsi" w:cstheme="minorBidi"/>
                <w:kern w:val="0"/>
                <w:sz w:val="22"/>
                <w:szCs w:val="22"/>
              </w:rPr>
            </w:pPr>
            <w:r w:rsidRPr="00367501">
              <w:rPr>
                <w:rFonts w:asciiTheme="minorHAnsi" w:eastAsiaTheme="minorHAnsi" w:hAnsiTheme="minorHAnsi" w:cstheme="minorBidi"/>
                <w:kern w:val="0"/>
                <w:sz w:val="22"/>
                <w:szCs w:val="22"/>
              </w:rPr>
              <w:t>Excellent oral and written communication and presentation skills. Spoken and written fluency required in English</w:t>
            </w:r>
            <w:r>
              <w:rPr>
                <w:rFonts w:asciiTheme="minorHAnsi" w:eastAsiaTheme="minorHAnsi" w:hAnsiTheme="minorHAnsi" w:cstheme="minorBidi"/>
                <w:kern w:val="0"/>
                <w:sz w:val="22"/>
                <w:szCs w:val="22"/>
              </w:rPr>
              <w:t xml:space="preserve"> and French</w:t>
            </w:r>
            <w:r w:rsidRPr="00367501">
              <w:rPr>
                <w:rFonts w:asciiTheme="minorHAnsi" w:eastAsiaTheme="minorHAnsi" w:hAnsiTheme="minorHAnsi" w:cstheme="minorBidi"/>
                <w:kern w:val="0"/>
                <w:sz w:val="22"/>
                <w:szCs w:val="22"/>
              </w:rPr>
              <w:t>. Additional languages (</w:t>
            </w:r>
            <w:r>
              <w:rPr>
                <w:rFonts w:asciiTheme="minorHAnsi" w:eastAsiaTheme="minorHAnsi" w:hAnsiTheme="minorHAnsi" w:cstheme="minorBidi"/>
                <w:kern w:val="0"/>
                <w:sz w:val="22"/>
                <w:szCs w:val="22"/>
              </w:rPr>
              <w:t xml:space="preserve">e.g. </w:t>
            </w:r>
            <w:r w:rsidRPr="00367501">
              <w:rPr>
                <w:rFonts w:asciiTheme="minorHAnsi" w:eastAsiaTheme="minorHAnsi" w:hAnsiTheme="minorHAnsi" w:cstheme="minorBidi"/>
                <w:kern w:val="0"/>
                <w:sz w:val="22"/>
                <w:szCs w:val="22"/>
              </w:rPr>
              <w:t>Spanish) a plus.</w:t>
            </w:r>
          </w:p>
          <w:p w14:paraId="4CD7108A" w14:textId="77777777" w:rsidR="00367501" w:rsidRPr="00367501" w:rsidRDefault="00367501" w:rsidP="00367501">
            <w:pPr>
              <w:pStyle w:val="Outline"/>
              <w:numPr>
                <w:ilvl w:val="0"/>
                <w:numId w:val="17"/>
              </w:numPr>
              <w:spacing w:before="0"/>
              <w:jc w:val="both"/>
              <w:rPr>
                <w:rFonts w:asciiTheme="minorHAnsi" w:eastAsiaTheme="minorHAnsi" w:hAnsiTheme="minorHAnsi" w:cstheme="minorBidi"/>
                <w:kern w:val="0"/>
                <w:sz w:val="22"/>
                <w:szCs w:val="22"/>
              </w:rPr>
            </w:pPr>
            <w:r w:rsidRPr="00367501">
              <w:rPr>
                <w:rFonts w:asciiTheme="minorHAnsi" w:eastAsiaTheme="minorHAnsi" w:hAnsiTheme="minorHAnsi" w:cstheme="minorBidi"/>
                <w:kern w:val="0"/>
                <w:sz w:val="22"/>
                <w:szCs w:val="22"/>
              </w:rPr>
              <w:t>Strong writing and analytical skills. Successful applicants may be requested to provide a writing sample</w:t>
            </w:r>
          </w:p>
          <w:p w14:paraId="1394B0AD" w14:textId="77777777" w:rsidR="00126C65" w:rsidRPr="00367501" w:rsidRDefault="00126C65" w:rsidP="00126C65">
            <w:pPr>
              <w:pStyle w:val="Outline"/>
              <w:numPr>
                <w:ilvl w:val="0"/>
                <w:numId w:val="17"/>
              </w:numPr>
              <w:spacing w:before="0"/>
              <w:jc w:val="both"/>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Financial modelling and statistical analysis skills, proficiency in Excel and a statistical program</w:t>
            </w:r>
          </w:p>
          <w:p w14:paraId="71A2556C" w14:textId="77777777" w:rsidR="00367501" w:rsidRPr="00367501" w:rsidRDefault="00367501" w:rsidP="00367501">
            <w:pPr>
              <w:pStyle w:val="Outline"/>
              <w:numPr>
                <w:ilvl w:val="0"/>
                <w:numId w:val="17"/>
              </w:numPr>
              <w:spacing w:before="0"/>
              <w:jc w:val="both"/>
              <w:rPr>
                <w:rFonts w:asciiTheme="minorHAnsi" w:eastAsiaTheme="minorHAnsi" w:hAnsiTheme="minorHAnsi" w:cstheme="minorBidi"/>
                <w:kern w:val="0"/>
                <w:sz w:val="22"/>
                <w:szCs w:val="22"/>
              </w:rPr>
            </w:pPr>
            <w:r w:rsidRPr="00367501">
              <w:rPr>
                <w:rFonts w:asciiTheme="minorHAnsi" w:eastAsiaTheme="minorHAnsi" w:hAnsiTheme="minorHAnsi" w:cstheme="minorBidi"/>
                <w:kern w:val="0"/>
                <w:sz w:val="22"/>
                <w:szCs w:val="22"/>
              </w:rPr>
              <w:t xml:space="preserve">Knowledge of infrastructure financing, project finance and PPP project deal cycle </w:t>
            </w:r>
          </w:p>
          <w:p w14:paraId="7BB40186" w14:textId="77777777" w:rsidR="00367501" w:rsidRPr="00367501" w:rsidRDefault="00367501" w:rsidP="00367501">
            <w:pPr>
              <w:pStyle w:val="Outline"/>
              <w:numPr>
                <w:ilvl w:val="0"/>
                <w:numId w:val="17"/>
              </w:numPr>
              <w:spacing w:before="0"/>
              <w:jc w:val="both"/>
              <w:rPr>
                <w:rFonts w:asciiTheme="minorHAnsi" w:eastAsiaTheme="minorHAnsi" w:hAnsiTheme="minorHAnsi" w:cstheme="minorBidi"/>
                <w:kern w:val="0"/>
                <w:sz w:val="22"/>
                <w:szCs w:val="22"/>
              </w:rPr>
            </w:pPr>
            <w:r w:rsidRPr="00367501">
              <w:rPr>
                <w:rFonts w:asciiTheme="minorHAnsi" w:eastAsiaTheme="minorHAnsi" w:hAnsiTheme="minorHAnsi" w:cstheme="minorBidi"/>
                <w:kern w:val="0"/>
                <w:sz w:val="22"/>
                <w:szCs w:val="22"/>
              </w:rPr>
              <w:t>Ability to work effectively in a team-oriented, multi-cultural environment</w:t>
            </w:r>
          </w:p>
          <w:p w14:paraId="41F4070B" w14:textId="7E67921F" w:rsidR="00322124" w:rsidRPr="00126C65" w:rsidRDefault="00126C65" w:rsidP="00126C65">
            <w:pPr>
              <w:pStyle w:val="Outline"/>
              <w:numPr>
                <w:ilvl w:val="0"/>
                <w:numId w:val="17"/>
              </w:numPr>
              <w:spacing w:before="0"/>
              <w:jc w:val="both"/>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Detailed oriented and organized; can work with minimum supervision</w:t>
            </w:r>
          </w:p>
        </w:tc>
      </w:tr>
    </w:tbl>
    <w:p w14:paraId="72DA09CE" w14:textId="12321A0A" w:rsidR="002456CE" w:rsidRPr="00C03FB7" w:rsidRDefault="002456CE">
      <w:pPr>
        <w:spacing w:after="200" w:line="276" w:lineRule="auto"/>
        <w:jc w:val="left"/>
      </w:pPr>
    </w:p>
    <w:sectPr w:rsidR="002456CE" w:rsidRPr="00C03FB7" w:rsidSect="006B2B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40ECE" w14:textId="77777777" w:rsidR="00C364B1" w:rsidRDefault="00C364B1" w:rsidP="006F41B6">
      <w:r>
        <w:separator/>
      </w:r>
    </w:p>
  </w:endnote>
  <w:endnote w:type="continuationSeparator" w:id="0">
    <w:p w14:paraId="4CCBFA06" w14:textId="77777777" w:rsidR="00C364B1" w:rsidRDefault="00C364B1" w:rsidP="006F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4948F" w14:textId="77777777" w:rsidR="00C364B1" w:rsidRDefault="00C364B1" w:rsidP="006F41B6">
      <w:r>
        <w:separator/>
      </w:r>
    </w:p>
  </w:footnote>
  <w:footnote w:type="continuationSeparator" w:id="0">
    <w:p w14:paraId="22183824" w14:textId="77777777" w:rsidR="00C364B1" w:rsidRDefault="00C364B1" w:rsidP="006F41B6">
      <w:r>
        <w:continuationSeparator/>
      </w:r>
    </w:p>
  </w:footnote>
  <w:footnote w:id="1">
    <w:p w14:paraId="3DA4983F" w14:textId="0EB58A1D" w:rsidR="00176421" w:rsidRDefault="00176421">
      <w:pPr>
        <w:pStyle w:val="FootnoteText"/>
      </w:pPr>
      <w:r w:rsidRPr="00176421">
        <w:rPr>
          <w:rFonts w:cs="Times New Roman"/>
          <w:sz w:val="18"/>
          <w:szCs w:val="18"/>
          <w:vertAlign w:val="superscript"/>
        </w:rPr>
        <w:footnoteRef/>
      </w:r>
      <w:r w:rsidRPr="00176421">
        <w:rPr>
          <w:rFonts w:cs="Times New Roman"/>
          <w:sz w:val="18"/>
          <w:szCs w:val="18"/>
        </w:rPr>
        <w:t xml:space="preserve"> This includes</w:t>
      </w:r>
      <w:r>
        <w:rPr>
          <w:rFonts w:cs="Times New Roman"/>
          <w:sz w:val="18"/>
          <w:szCs w:val="18"/>
        </w:rPr>
        <w:t xml:space="preserve"> investment lending, analytical and advisory assistance as well as knowledge and partnership platforms.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593"/>
    <w:multiLevelType w:val="hybridMultilevel"/>
    <w:tmpl w:val="AB9ACA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4396E"/>
    <w:multiLevelType w:val="hybridMultilevel"/>
    <w:tmpl w:val="F58EDDC8"/>
    <w:lvl w:ilvl="0" w:tplc="A1B2A602">
      <w:start w:val="1"/>
      <w:numFmt w:val="upperLetter"/>
      <w:lvlText w:val="%1."/>
      <w:lvlJc w:val="left"/>
      <w:pPr>
        <w:ind w:left="365" w:hanging="360"/>
      </w:pPr>
      <w:rPr>
        <w:rFonts w:hint="default"/>
        <w:b/>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2" w15:restartNumberingAfterBreak="0">
    <w:nsid w:val="063E30B4"/>
    <w:multiLevelType w:val="hybridMultilevel"/>
    <w:tmpl w:val="B30A10DA"/>
    <w:lvl w:ilvl="0" w:tplc="34DA0E44">
      <w:start w:val="1"/>
      <w:numFmt w:val="decimal"/>
      <w:lvlText w:val="%1."/>
      <w:lvlJc w:val="left"/>
      <w:pPr>
        <w:ind w:left="365" w:hanging="360"/>
      </w:pPr>
      <w:rPr>
        <w:rFonts w:hint="default"/>
      </w:rPr>
    </w:lvl>
    <w:lvl w:ilvl="1" w:tplc="04090019">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3" w15:restartNumberingAfterBreak="0">
    <w:nsid w:val="0C095715"/>
    <w:multiLevelType w:val="hybridMultilevel"/>
    <w:tmpl w:val="1B084EDA"/>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4" w15:restartNumberingAfterBreak="0">
    <w:nsid w:val="101658B8"/>
    <w:multiLevelType w:val="hybridMultilevel"/>
    <w:tmpl w:val="79A0796C"/>
    <w:lvl w:ilvl="0" w:tplc="34DA0E44">
      <w:start w:val="1"/>
      <w:numFmt w:val="decimal"/>
      <w:lvlText w:val="%1."/>
      <w:lvlJc w:val="left"/>
      <w:pPr>
        <w:ind w:left="365" w:hanging="360"/>
      </w:pPr>
      <w:rPr>
        <w:rFonts w:hint="default"/>
      </w:rPr>
    </w:lvl>
    <w:lvl w:ilvl="1" w:tplc="9814BDB6">
      <w:start w:val="1"/>
      <w:numFmt w:val="lowerLetter"/>
      <w:lvlText w:val="%2."/>
      <w:lvlJc w:val="left"/>
      <w:pPr>
        <w:ind w:left="1085" w:hanging="360"/>
      </w:pPr>
      <w:rPr>
        <w:rFonts w:asciiTheme="minorHAnsi" w:eastAsiaTheme="minorHAnsi" w:hAnsiTheme="minorHAnsi" w:cstheme="minorBidi"/>
      </w:rPr>
    </w:lvl>
    <w:lvl w:ilvl="2" w:tplc="3FBA3C92">
      <w:start w:val="1"/>
      <w:numFmt w:val="upperLetter"/>
      <w:lvlText w:val="%3."/>
      <w:lvlJc w:val="left"/>
      <w:pPr>
        <w:ind w:left="1985" w:hanging="360"/>
      </w:pPr>
      <w:rPr>
        <w:rFonts w:hint="default"/>
      </w:r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5" w15:restartNumberingAfterBreak="0">
    <w:nsid w:val="120B6CBF"/>
    <w:multiLevelType w:val="hybridMultilevel"/>
    <w:tmpl w:val="E3444FF2"/>
    <w:lvl w:ilvl="0" w:tplc="1E84057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7811A0"/>
    <w:multiLevelType w:val="hybridMultilevel"/>
    <w:tmpl w:val="9620DF62"/>
    <w:lvl w:ilvl="0" w:tplc="3152A48A">
      <w:start w:val="1"/>
      <w:numFmt w:val="bullet"/>
      <w:lvlText w:val="•"/>
      <w:lvlJc w:val="left"/>
      <w:pPr>
        <w:tabs>
          <w:tab w:val="num" w:pos="720"/>
        </w:tabs>
        <w:ind w:left="720" w:hanging="360"/>
      </w:pPr>
      <w:rPr>
        <w:rFonts w:ascii="Arial" w:hAnsi="Arial" w:hint="default"/>
      </w:rPr>
    </w:lvl>
    <w:lvl w:ilvl="1" w:tplc="E2D6C386" w:tentative="1">
      <w:start w:val="1"/>
      <w:numFmt w:val="bullet"/>
      <w:lvlText w:val="•"/>
      <w:lvlJc w:val="left"/>
      <w:pPr>
        <w:tabs>
          <w:tab w:val="num" w:pos="1440"/>
        </w:tabs>
        <w:ind w:left="1440" w:hanging="360"/>
      </w:pPr>
      <w:rPr>
        <w:rFonts w:ascii="Arial" w:hAnsi="Arial" w:hint="default"/>
      </w:rPr>
    </w:lvl>
    <w:lvl w:ilvl="2" w:tplc="61CAF624" w:tentative="1">
      <w:start w:val="1"/>
      <w:numFmt w:val="bullet"/>
      <w:lvlText w:val="•"/>
      <w:lvlJc w:val="left"/>
      <w:pPr>
        <w:tabs>
          <w:tab w:val="num" w:pos="2160"/>
        </w:tabs>
        <w:ind w:left="2160" w:hanging="360"/>
      </w:pPr>
      <w:rPr>
        <w:rFonts w:ascii="Arial" w:hAnsi="Arial" w:hint="default"/>
      </w:rPr>
    </w:lvl>
    <w:lvl w:ilvl="3" w:tplc="644AC920" w:tentative="1">
      <w:start w:val="1"/>
      <w:numFmt w:val="bullet"/>
      <w:lvlText w:val="•"/>
      <w:lvlJc w:val="left"/>
      <w:pPr>
        <w:tabs>
          <w:tab w:val="num" w:pos="2880"/>
        </w:tabs>
        <w:ind w:left="2880" w:hanging="360"/>
      </w:pPr>
      <w:rPr>
        <w:rFonts w:ascii="Arial" w:hAnsi="Arial" w:hint="default"/>
      </w:rPr>
    </w:lvl>
    <w:lvl w:ilvl="4" w:tplc="6B8E90E8" w:tentative="1">
      <w:start w:val="1"/>
      <w:numFmt w:val="bullet"/>
      <w:lvlText w:val="•"/>
      <w:lvlJc w:val="left"/>
      <w:pPr>
        <w:tabs>
          <w:tab w:val="num" w:pos="3600"/>
        </w:tabs>
        <w:ind w:left="3600" w:hanging="360"/>
      </w:pPr>
      <w:rPr>
        <w:rFonts w:ascii="Arial" w:hAnsi="Arial" w:hint="default"/>
      </w:rPr>
    </w:lvl>
    <w:lvl w:ilvl="5" w:tplc="8CF047A8" w:tentative="1">
      <w:start w:val="1"/>
      <w:numFmt w:val="bullet"/>
      <w:lvlText w:val="•"/>
      <w:lvlJc w:val="left"/>
      <w:pPr>
        <w:tabs>
          <w:tab w:val="num" w:pos="4320"/>
        </w:tabs>
        <w:ind w:left="4320" w:hanging="360"/>
      </w:pPr>
      <w:rPr>
        <w:rFonts w:ascii="Arial" w:hAnsi="Arial" w:hint="default"/>
      </w:rPr>
    </w:lvl>
    <w:lvl w:ilvl="6" w:tplc="47829CA6" w:tentative="1">
      <w:start w:val="1"/>
      <w:numFmt w:val="bullet"/>
      <w:lvlText w:val="•"/>
      <w:lvlJc w:val="left"/>
      <w:pPr>
        <w:tabs>
          <w:tab w:val="num" w:pos="5040"/>
        </w:tabs>
        <w:ind w:left="5040" w:hanging="360"/>
      </w:pPr>
      <w:rPr>
        <w:rFonts w:ascii="Arial" w:hAnsi="Arial" w:hint="default"/>
      </w:rPr>
    </w:lvl>
    <w:lvl w:ilvl="7" w:tplc="33CA1ED6" w:tentative="1">
      <w:start w:val="1"/>
      <w:numFmt w:val="bullet"/>
      <w:lvlText w:val="•"/>
      <w:lvlJc w:val="left"/>
      <w:pPr>
        <w:tabs>
          <w:tab w:val="num" w:pos="5760"/>
        </w:tabs>
        <w:ind w:left="5760" w:hanging="360"/>
      </w:pPr>
      <w:rPr>
        <w:rFonts w:ascii="Arial" w:hAnsi="Arial" w:hint="default"/>
      </w:rPr>
    </w:lvl>
    <w:lvl w:ilvl="8" w:tplc="79064D7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0E574A"/>
    <w:multiLevelType w:val="hybridMultilevel"/>
    <w:tmpl w:val="DFB6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01F6E"/>
    <w:multiLevelType w:val="hybridMultilevel"/>
    <w:tmpl w:val="F7CAA122"/>
    <w:lvl w:ilvl="0" w:tplc="FFA4CCB4">
      <w:start w:val="1"/>
      <w:numFmt w:val="bullet"/>
      <w:lvlText w:val="•"/>
      <w:lvlJc w:val="left"/>
      <w:pPr>
        <w:tabs>
          <w:tab w:val="num" w:pos="720"/>
        </w:tabs>
        <w:ind w:left="720" w:hanging="360"/>
      </w:pPr>
      <w:rPr>
        <w:rFonts w:ascii="Arial" w:hAnsi="Arial" w:hint="default"/>
      </w:rPr>
    </w:lvl>
    <w:lvl w:ilvl="1" w:tplc="AF863FE8" w:tentative="1">
      <w:start w:val="1"/>
      <w:numFmt w:val="bullet"/>
      <w:lvlText w:val="•"/>
      <w:lvlJc w:val="left"/>
      <w:pPr>
        <w:tabs>
          <w:tab w:val="num" w:pos="1440"/>
        </w:tabs>
        <w:ind w:left="1440" w:hanging="360"/>
      </w:pPr>
      <w:rPr>
        <w:rFonts w:ascii="Arial" w:hAnsi="Arial" w:hint="default"/>
      </w:rPr>
    </w:lvl>
    <w:lvl w:ilvl="2" w:tplc="2AFA016C" w:tentative="1">
      <w:start w:val="1"/>
      <w:numFmt w:val="bullet"/>
      <w:lvlText w:val="•"/>
      <w:lvlJc w:val="left"/>
      <w:pPr>
        <w:tabs>
          <w:tab w:val="num" w:pos="2160"/>
        </w:tabs>
        <w:ind w:left="2160" w:hanging="360"/>
      </w:pPr>
      <w:rPr>
        <w:rFonts w:ascii="Arial" w:hAnsi="Arial" w:hint="default"/>
      </w:rPr>
    </w:lvl>
    <w:lvl w:ilvl="3" w:tplc="F138762C" w:tentative="1">
      <w:start w:val="1"/>
      <w:numFmt w:val="bullet"/>
      <w:lvlText w:val="•"/>
      <w:lvlJc w:val="left"/>
      <w:pPr>
        <w:tabs>
          <w:tab w:val="num" w:pos="2880"/>
        </w:tabs>
        <w:ind w:left="2880" w:hanging="360"/>
      </w:pPr>
      <w:rPr>
        <w:rFonts w:ascii="Arial" w:hAnsi="Arial" w:hint="default"/>
      </w:rPr>
    </w:lvl>
    <w:lvl w:ilvl="4" w:tplc="F0A8109A" w:tentative="1">
      <w:start w:val="1"/>
      <w:numFmt w:val="bullet"/>
      <w:lvlText w:val="•"/>
      <w:lvlJc w:val="left"/>
      <w:pPr>
        <w:tabs>
          <w:tab w:val="num" w:pos="3600"/>
        </w:tabs>
        <w:ind w:left="3600" w:hanging="360"/>
      </w:pPr>
      <w:rPr>
        <w:rFonts w:ascii="Arial" w:hAnsi="Arial" w:hint="default"/>
      </w:rPr>
    </w:lvl>
    <w:lvl w:ilvl="5" w:tplc="652E3088" w:tentative="1">
      <w:start w:val="1"/>
      <w:numFmt w:val="bullet"/>
      <w:lvlText w:val="•"/>
      <w:lvlJc w:val="left"/>
      <w:pPr>
        <w:tabs>
          <w:tab w:val="num" w:pos="4320"/>
        </w:tabs>
        <w:ind w:left="4320" w:hanging="360"/>
      </w:pPr>
      <w:rPr>
        <w:rFonts w:ascii="Arial" w:hAnsi="Arial" w:hint="default"/>
      </w:rPr>
    </w:lvl>
    <w:lvl w:ilvl="6" w:tplc="2A0A3F08" w:tentative="1">
      <w:start w:val="1"/>
      <w:numFmt w:val="bullet"/>
      <w:lvlText w:val="•"/>
      <w:lvlJc w:val="left"/>
      <w:pPr>
        <w:tabs>
          <w:tab w:val="num" w:pos="5040"/>
        </w:tabs>
        <w:ind w:left="5040" w:hanging="360"/>
      </w:pPr>
      <w:rPr>
        <w:rFonts w:ascii="Arial" w:hAnsi="Arial" w:hint="default"/>
      </w:rPr>
    </w:lvl>
    <w:lvl w:ilvl="7" w:tplc="8DF451E8" w:tentative="1">
      <w:start w:val="1"/>
      <w:numFmt w:val="bullet"/>
      <w:lvlText w:val="•"/>
      <w:lvlJc w:val="left"/>
      <w:pPr>
        <w:tabs>
          <w:tab w:val="num" w:pos="5760"/>
        </w:tabs>
        <w:ind w:left="5760" w:hanging="360"/>
      </w:pPr>
      <w:rPr>
        <w:rFonts w:ascii="Arial" w:hAnsi="Arial" w:hint="default"/>
      </w:rPr>
    </w:lvl>
    <w:lvl w:ilvl="8" w:tplc="BEAEC0F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6116FE"/>
    <w:multiLevelType w:val="hybridMultilevel"/>
    <w:tmpl w:val="7170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77289"/>
    <w:multiLevelType w:val="hybridMultilevel"/>
    <w:tmpl w:val="8BC8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C205C"/>
    <w:multiLevelType w:val="hybridMultilevel"/>
    <w:tmpl w:val="61B6DE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338B6"/>
    <w:multiLevelType w:val="hybridMultilevel"/>
    <w:tmpl w:val="97D07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BA200E4"/>
    <w:multiLevelType w:val="hybridMultilevel"/>
    <w:tmpl w:val="E3444FF2"/>
    <w:lvl w:ilvl="0" w:tplc="1E84057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9CB3138"/>
    <w:multiLevelType w:val="hybridMultilevel"/>
    <w:tmpl w:val="E506C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B486C"/>
    <w:multiLevelType w:val="hybridMultilevel"/>
    <w:tmpl w:val="DA7A1E02"/>
    <w:lvl w:ilvl="0" w:tplc="0409000F">
      <w:start w:val="1"/>
      <w:numFmt w:val="decimal"/>
      <w:lvlText w:val="%1."/>
      <w:lvlJc w:val="left"/>
      <w:pPr>
        <w:ind w:left="365" w:hanging="360"/>
      </w:pPr>
      <w:rPr>
        <w:rFonts w:hint="default"/>
      </w:rPr>
    </w:lvl>
    <w:lvl w:ilvl="1" w:tplc="04090019">
      <w:start w:val="1"/>
      <w:numFmt w:val="lowerLetter"/>
      <w:lvlText w:val="%2."/>
      <w:lvlJc w:val="left"/>
      <w:pPr>
        <w:ind w:left="1085" w:hanging="360"/>
      </w:pPr>
    </w:lvl>
    <w:lvl w:ilvl="2" w:tplc="A360100A">
      <w:start w:val="1"/>
      <w:numFmt w:val="decimal"/>
      <w:lvlText w:val="%3."/>
      <w:lvlJc w:val="left"/>
      <w:pPr>
        <w:ind w:left="1985" w:hanging="360"/>
      </w:pPr>
      <w:rPr>
        <w:rFonts w:hint="default"/>
      </w:r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16" w15:restartNumberingAfterBreak="0">
    <w:nsid w:val="59252452"/>
    <w:multiLevelType w:val="hybridMultilevel"/>
    <w:tmpl w:val="12BC1B98"/>
    <w:lvl w:ilvl="0" w:tplc="47BA09E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92D0E"/>
    <w:multiLevelType w:val="hybridMultilevel"/>
    <w:tmpl w:val="3FC023AC"/>
    <w:lvl w:ilvl="0" w:tplc="EA72973C">
      <w:start w:val="1"/>
      <w:numFmt w:val="bullet"/>
      <w:lvlText w:val="•"/>
      <w:lvlJc w:val="left"/>
      <w:pPr>
        <w:tabs>
          <w:tab w:val="num" w:pos="720"/>
        </w:tabs>
        <w:ind w:left="720" w:hanging="360"/>
      </w:pPr>
      <w:rPr>
        <w:rFonts w:ascii="Arial" w:hAnsi="Arial" w:hint="default"/>
      </w:rPr>
    </w:lvl>
    <w:lvl w:ilvl="1" w:tplc="5CCA33BA" w:tentative="1">
      <w:start w:val="1"/>
      <w:numFmt w:val="bullet"/>
      <w:lvlText w:val="•"/>
      <w:lvlJc w:val="left"/>
      <w:pPr>
        <w:tabs>
          <w:tab w:val="num" w:pos="1440"/>
        </w:tabs>
        <w:ind w:left="1440" w:hanging="360"/>
      </w:pPr>
      <w:rPr>
        <w:rFonts w:ascii="Arial" w:hAnsi="Arial" w:hint="default"/>
      </w:rPr>
    </w:lvl>
    <w:lvl w:ilvl="2" w:tplc="C1101382" w:tentative="1">
      <w:start w:val="1"/>
      <w:numFmt w:val="bullet"/>
      <w:lvlText w:val="•"/>
      <w:lvlJc w:val="left"/>
      <w:pPr>
        <w:tabs>
          <w:tab w:val="num" w:pos="2160"/>
        </w:tabs>
        <w:ind w:left="2160" w:hanging="360"/>
      </w:pPr>
      <w:rPr>
        <w:rFonts w:ascii="Arial" w:hAnsi="Arial" w:hint="default"/>
      </w:rPr>
    </w:lvl>
    <w:lvl w:ilvl="3" w:tplc="B6242688" w:tentative="1">
      <w:start w:val="1"/>
      <w:numFmt w:val="bullet"/>
      <w:lvlText w:val="•"/>
      <w:lvlJc w:val="left"/>
      <w:pPr>
        <w:tabs>
          <w:tab w:val="num" w:pos="2880"/>
        </w:tabs>
        <w:ind w:left="2880" w:hanging="360"/>
      </w:pPr>
      <w:rPr>
        <w:rFonts w:ascii="Arial" w:hAnsi="Arial" w:hint="default"/>
      </w:rPr>
    </w:lvl>
    <w:lvl w:ilvl="4" w:tplc="B296A71C" w:tentative="1">
      <w:start w:val="1"/>
      <w:numFmt w:val="bullet"/>
      <w:lvlText w:val="•"/>
      <w:lvlJc w:val="left"/>
      <w:pPr>
        <w:tabs>
          <w:tab w:val="num" w:pos="3600"/>
        </w:tabs>
        <w:ind w:left="3600" w:hanging="360"/>
      </w:pPr>
      <w:rPr>
        <w:rFonts w:ascii="Arial" w:hAnsi="Arial" w:hint="default"/>
      </w:rPr>
    </w:lvl>
    <w:lvl w:ilvl="5" w:tplc="71007B32" w:tentative="1">
      <w:start w:val="1"/>
      <w:numFmt w:val="bullet"/>
      <w:lvlText w:val="•"/>
      <w:lvlJc w:val="left"/>
      <w:pPr>
        <w:tabs>
          <w:tab w:val="num" w:pos="4320"/>
        </w:tabs>
        <w:ind w:left="4320" w:hanging="360"/>
      </w:pPr>
      <w:rPr>
        <w:rFonts w:ascii="Arial" w:hAnsi="Arial" w:hint="default"/>
      </w:rPr>
    </w:lvl>
    <w:lvl w:ilvl="6" w:tplc="C9B0EA9E" w:tentative="1">
      <w:start w:val="1"/>
      <w:numFmt w:val="bullet"/>
      <w:lvlText w:val="•"/>
      <w:lvlJc w:val="left"/>
      <w:pPr>
        <w:tabs>
          <w:tab w:val="num" w:pos="5040"/>
        </w:tabs>
        <w:ind w:left="5040" w:hanging="360"/>
      </w:pPr>
      <w:rPr>
        <w:rFonts w:ascii="Arial" w:hAnsi="Arial" w:hint="default"/>
      </w:rPr>
    </w:lvl>
    <w:lvl w:ilvl="7" w:tplc="5A6A207E" w:tentative="1">
      <w:start w:val="1"/>
      <w:numFmt w:val="bullet"/>
      <w:lvlText w:val="•"/>
      <w:lvlJc w:val="left"/>
      <w:pPr>
        <w:tabs>
          <w:tab w:val="num" w:pos="5760"/>
        </w:tabs>
        <w:ind w:left="5760" w:hanging="360"/>
      </w:pPr>
      <w:rPr>
        <w:rFonts w:ascii="Arial" w:hAnsi="Arial" w:hint="default"/>
      </w:rPr>
    </w:lvl>
    <w:lvl w:ilvl="8" w:tplc="D76ABCA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E2A2CA5"/>
    <w:multiLevelType w:val="hybridMultilevel"/>
    <w:tmpl w:val="CC8E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16548"/>
    <w:multiLevelType w:val="hybridMultilevel"/>
    <w:tmpl w:val="86D07856"/>
    <w:lvl w:ilvl="0" w:tplc="0409000F">
      <w:start w:val="1"/>
      <w:numFmt w:val="decimal"/>
      <w:lvlText w:val="%1."/>
      <w:lvlJc w:val="left"/>
      <w:pPr>
        <w:ind w:left="365" w:hanging="360"/>
      </w:pPr>
    </w:lvl>
    <w:lvl w:ilvl="1" w:tplc="04090019">
      <w:start w:val="1"/>
      <w:numFmt w:val="lowerLetter"/>
      <w:lvlText w:val="%2."/>
      <w:lvlJc w:val="left"/>
      <w:pPr>
        <w:ind w:left="1085" w:hanging="360"/>
      </w:pPr>
    </w:lvl>
    <w:lvl w:ilvl="2" w:tplc="0409001B">
      <w:start w:val="1"/>
      <w:numFmt w:val="lowerRoman"/>
      <w:lvlText w:val="%3."/>
      <w:lvlJc w:val="right"/>
      <w:pPr>
        <w:ind w:left="1805" w:hanging="180"/>
      </w:pPr>
    </w:lvl>
    <w:lvl w:ilvl="3" w:tplc="0409000F">
      <w:start w:val="1"/>
      <w:numFmt w:val="decimal"/>
      <w:lvlText w:val="%4."/>
      <w:lvlJc w:val="left"/>
      <w:pPr>
        <w:ind w:left="2525" w:hanging="360"/>
      </w:pPr>
    </w:lvl>
    <w:lvl w:ilvl="4" w:tplc="04090019">
      <w:start w:val="1"/>
      <w:numFmt w:val="lowerLetter"/>
      <w:lvlText w:val="%5."/>
      <w:lvlJc w:val="left"/>
      <w:pPr>
        <w:ind w:left="3245" w:hanging="360"/>
      </w:pPr>
    </w:lvl>
    <w:lvl w:ilvl="5" w:tplc="0409001B">
      <w:start w:val="1"/>
      <w:numFmt w:val="lowerRoman"/>
      <w:lvlText w:val="%6."/>
      <w:lvlJc w:val="right"/>
      <w:pPr>
        <w:ind w:left="3965" w:hanging="180"/>
      </w:pPr>
    </w:lvl>
    <w:lvl w:ilvl="6" w:tplc="0409000F">
      <w:start w:val="1"/>
      <w:numFmt w:val="decimal"/>
      <w:lvlText w:val="%7."/>
      <w:lvlJc w:val="left"/>
      <w:pPr>
        <w:ind w:left="4685" w:hanging="360"/>
      </w:pPr>
    </w:lvl>
    <w:lvl w:ilvl="7" w:tplc="04090019">
      <w:start w:val="1"/>
      <w:numFmt w:val="lowerLetter"/>
      <w:lvlText w:val="%8."/>
      <w:lvlJc w:val="left"/>
      <w:pPr>
        <w:ind w:left="5405" w:hanging="360"/>
      </w:pPr>
    </w:lvl>
    <w:lvl w:ilvl="8" w:tplc="0409001B">
      <w:start w:val="1"/>
      <w:numFmt w:val="lowerRoman"/>
      <w:lvlText w:val="%9."/>
      <w:lvlJc w:val="right"/>
      <w:pPr>
        <w:ind w:left="6125" w:hanging="180"/>
      </w:pPr>
    </w:lvl>
  </w:abstractNum>
  <w:num w:numId="1">
    <w:abstractNumId w:val="16"/>
  </w:num>
  <w:num w:numId="2">
    <w:abstractNumId w:val="2"/>
  </w:num>
  <w:num w:numId="3">
    <w:abstractNumId w:val="1"/>
  </w:num>
  <w:num w:numId="4">
    <w:abstractNumId w:val="0"/>
  </w:num>
  <w:num w:numId="5">
    <w:abstractNumId w:val="17"/>
  </w:num>
  <w:num w:numId="6">
    <w:abstractNumId w:val="8"/>
  </w:num>
  <w:num w:numId="7">
    <w:abstractNumId w:val="6"/>
  </w:num>
  <w:num w:numId="8">
    <w:abstractNumId w:val="4"/>
  </w:num>
  <w:num w:numId="9">
    <w:abstractNumId w:val="1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13"/>
  </w:num>
  <w:num w:numId="17">
    <w:abstractNumId w:val="7"/>
  </w:num>
  <w:num w:numId="18">
    <w:abstractNumId w:val="14"/>
  </w:num>
  <w:num w:numId="19">
    <w:abstractNumId w:val="10"/>
  </w:num>
  <w:num w:numId="20">
    <w:abstractNumId w:val="9"/>
  </w:num>
  <w:num w:numId="2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121"/>
    <w:rsid w:val="00000257"/>
    <w:rsid w:val="00002A0E"/>
    <w:rsid w:val="00003025"/>
    <w:rsid w:val="00005C83"/>
    <w:rsid w:val="00005E25"/>
    <w:rsid w:val="00007597"/>
    <w:rsid w:val="00007CF3"/>
    <w:rsid w:val="000119B4"/>
    <w:rsid w:val="00014BE0"/>
    <w:rsid w:val="00015C7F"/>
    <w:rsid w:val="000251D4"/>
    <w:rsid w:val="0003006E"/>
    <w:rsid w:val="000319D2"/>
    <w:rsid w:val="00031E62"/>
    <w:rsid w:val="00032F74"/>
    <w:rsid w:val="00033BD1"/>
    <w:rsid w:val="00035042"/>
    <w:rsid w:val="00035321"/>
    <w:rsid w:val="000365C9"/>
    <w:rsid w:val="00040ED2"/>
    <w:rsid w:val="000413BA"/>
    <w:rsid w:val="00043A6B"/>
    <w:rsid w:val="000524B4"/>
    <w:rsid w:val="00052583"/>
    <w:rsid w:val="000526C4"/>
    <w:rsid w:val="00053025"/>
    <w:rsid w:val="00053610"/>
    <w:rsid w:val="00053EF4"/>
    <w:rsid w:val="0005569B"/>
    <w:rsid w:val="000608CC"/>
    <w:rsid w:val="000610D2"/>
    <w:rsid w:val="000629A7"/>
    <w:rsid w:val="000669D0"/>
    <w:rsid w:val="000670CF"/>
    <w:rsid w:val="00067477"/>
    <w:rsid w:val="00067513"/>
    <w:rsid w:val="00070279"/>
    <w:rsid w:val="0007219A"/>
    <w:rsid w:val="00073151"/>
    <w:rsid w:val="00075E20"/>
    <w:rsid w:val="00076325"/>
    <w:rsid w:val="0008034D"/>
    <w:rsid w:val="00082EF4"/>
    <w:rsid w:val="00083F14"/>
    <w:rsid w:val="00084B45"/>
    <w:rsid w:val="00084B9F"/>
    <w:rsid w:val="00087666"/>
    <w:rsid w:val="00092AA4"/>
    <w:rsid w:val="00092C6B"/>
    <w:rsid w:val="0009319E"/>
    <w:rsid w:val="00093FAE"/>
    <w:rsid w:val="00095456"/>
    <w:rsid w:val="00096424"/>
    <w:rsid w:val="000972CB"/>
    <w:rsid w:val="00097487"/>
    <w:rsid w:val="00097D5E"/>
    <w:rsid w:val="00097FDC"/>
    <w:rsid w:val="000A6C13"/>
    <w:rsid w:val="000A70B0"/>
    <w:rsid w:val="000B10A6"/>
    <w:rsid w:val="000B277E"/>
    <w:rsid w:val="000B6D5D"/>
    <w:rsid w:val="000B6E4C"/>
    <w:rsid w:val="000B76C1"/>
    <w:rsid w:val="000B79B7"/>
    <w:rsid w:val="000C093F"/>
    <w:rsid w:val="000C098E"/>
    <w:rsid w:val="000C12EB"/>
    <w:rsid w:val="000C1DA8"/>
    <w:rsid w:val="000C3BB7"/>
    <w:rsid w:val="000C3FE7"/>
    <w:rsid w:val="000C4647"/>
    <w:rsid w:val="000C4980"/>
    <w:rsid w:val="000C582E"/>
    <w:rsid w:val="000C79D7"/>
    <w:rsid w:val="000D38FC"/>
    <w:rsid w:val="000D6BB2"/>
    <w:rsid w:val="000E5C2E"/>
    <w:rsid w:val="000F3165"/>
    <w:rsid w:val="000F3A66"/>
    <w:rsid w:val="000F4523"/>
    <w:rsid w:val="00100623"/>
    <w:rsid w:val="00100BA1"/>
    <w:rsid w:val="00100E5E"/>
    <w:rsid w:val="00101022"/>
    <w:rsid w:val="0010103F"/>
    <w:rsid w:val="001021AE"/>
    <w:rsid w:val="001025B3"/>
    <w:rsid w:val="00104915"/>
    <w:rsid w:val="00106E91"/>
    <w:rsid w:val="00107574"/>
    <w:rsid w:val="00107E9D"/>
    <w:rsid w:val="001112F4"/>
    <w:rsid w:val="00112F05"/>
    <w:rsid w:val="0012228C"/>
    <w:rsid w:val="00122291"/>
    <w:rsid w:val="001233C1"/>
    <w:rsid w:val="00124991"/>
    <w:rsid w:val="00124F9C"/>
    <w:rsid w:val="00125610"/>
    <w:rsid w:val="001269DD"/>
    <w:rsid w:val="00126C65"/>
    <w:rsid w:val="00130009"/>
    <w:rsid w:val="0013023B"/>
    <w:rsid w:val="001315EF"/>
    <w:rsid w:val="00133634"/>
    <w:rsid w:val="00133FE1"/>
    <w:rsid w:val="00136546"/>
    <w:rsid w:val="00137968"/>
    <w:rsid w:val="00137995"/>
    <w:rsid w:val="001406E8"/>
    <w:rsid w:val="001412B8"/>
    <w:rsid w:val="00142131"/>
    <w:rsid w:val="00142342"/>
    <w:rsid w:val="00142AB7"/>
    <w:rsid w:val="0014390C"/>
    <w:rsid w:val="00144FFF"/>
    <w:rsid w:val="0014583E"/>
    <w:rsid w:val="00146685"/>
    <w:rsid w:val="00147D39"/>
    <w:rsid w:val="00153201"/>
    <w:rsid w:val="001563C0"/>
    <w:rsid w:val="00161BB8"/>
    <w:rsid w:val="0016583A"/>
    <w:rsid w:val="00167F99"/>
    <w:rsid w:val="00170688"/>
    <w:rsid w:val="00173B6C"/>
    <w:rsid w:val="00174AF5"/>
    <w:rsid w:val="00174E5D"/>
    <w:rsid w:val="00175644"/>
    <w:rsid w:val="00176421"/>
    <w:rsid w:val="00177C38"/>
    <w:rsid w:val="0018050B"/>
    <w:rsid w:val="00182EEB"/>
    <w:rsid w:val="00184D41"/>
    <w:rsid w:val="00185496"/>
    <w:rsid w:val="001901BD"/>
    <w:rsid w:val="00191213"/>
    <w:rsid w:val="00197F70"/>
    <w:rsid w:val="001A0221"/>
    <w:rsid w:val="001A355F"/>
    <w:rsid w:val="001A59D0"/>
    <w:rsid w:val="001A6FE7"/>
    <w:rsid w:val="001A762E"/>
    <w:rsid w:val="001B1C5B"/>
    <w:rsid w:val="001B2414"/>
    <w:rsid w:val="001B433D"/>
    <w:rsid w:val="001C0F3B"/>
    <w:rsid w:val="001C2081"/>
    <w:rsid w:val="001C65C1"/>
    <w:rsid w:val="001C6B01"/>
    <w:rsid w:val="001C6FE2"/>
    <w:rsid w:val="001D162B"/>
    <w:rsid w:val="001D312D"/>
    <w:rsid w:val="001D420E"/>
    <w:rsid w:val="001D592E"/>
    <w:rsid w:val="001D7518"/>
    <w:rsid w:val="001D787B"/>
    <w:rsid w:val="001E1B98"/>
    <w:rsid w:val="001E2E03"/>
    <w:rsid w:val="001E3475"/>
    <w:rsid w:val="001E4226"/>
    <w:rsid w:val="001E5785"/>
    <w:rsid w:val="001E755C"/>
    <w:rsid w:val="001F298E"/>
    <w:rsid w:val="001F497A"/>
    <w:rsid w:val="00200C96"/>
    <w:rsid w:val="002060EA"/>
    <w:rsid w:val="00207306"/>
    <w:rsid w:val="00210A3D"/>
    <w:rsid w:val="00210BD7"/>
    <w:rsid w:val="00210C10"/>
    <w:rsid w:val="0021237D"/>
    <w:rsid w:val="00214772"/>
    <w:rsid w:val="00214D58"/>
    <w:rsid w:val="00214FD0"/>
    <w:rsid w:val="00221A62"/>
    <w:rsid w:val="00221BBD"/>
    <w:rsid w:val="00224427"/>
    <w:rsid w:val="0022500C"/>
    <w:rsid w:val="002251E1"/>
    <w:rsid w:val="00226C44"/>
    <w:rsid w:val="00230561"/>
    <w:rsid w:val="00231926"/>
    <w:rsid w:val="0023206B"/>
    <w:rsid w:val="00232A1F"/>
    <w:rsid w:val="00234F9A"/>
    <w:rsid w:val="00241EDD"/>
    <w:rsid w:val="00242510"/>
    <w:rsid w:val="00242BC4"/>
    <w:rsid w:val="002430FD"/>
    <w:rsid w:val="00243698"/>
    <w:rsid w:val="002456CE"/>
    <w:rsid w:val="00247A64"/>
    <w:rsid w:val="0025419E"/>
    <w:rsid w:val="002542B4"/>
    <w:rsid w:val="0025579E"/>
    <w:rsid w:val="002700F8"/>
    <w:rsid w:val="00271D2D"/>
    <w:rsid w:val="002755C1"/>
    <w:rsid w:val="00276BC8"/>
    <w:rsid w:val="00281E48"/>
    <w:rsid w:val="00287B66"/>
    <w:rsid w:val="00296080"/>
    <w:rsid w:val="0029701C"/>
    <w:rsid w:val="00297349"/>
    <w:rsid w:val="002A0101"/>
    <w:rsid w:val="002A27B3"/>
    <w:rsid w:val="002A28EE"/>
    <w:rsid w:val="002A56A6"/>
    <w:rsid w:val="002A592D"/>
    <w:rsid w:val="002B0B4C"/>
    <w:rsid w:val="002B4BC2"/>
    <w:rsid w:val="002C329D"/>
    <w:rsid w:val="002C3765"/>
    <w:rsid w:val="002C5E8E"/>
    <w:rsid w:val="002D142A"/>
    <w:rsid w:val="002D2E47"/>
    <w:rsid w:val="002D3A00"/>
    <w:rsid w:val="002D451B"/>
    <w:rsid w:val="002D6F5F"/>
    <w:rsid w:val="002E0165"/>
    <w:rsid w:val="002E03F3"/>
    <w:rsid w:val="002E1A8D"/>
    <w:rsid w:val="002E1EE8"/>
    <w:rsid w:val="002E2AF0"/>
    <w:rsid w:val="002E74F0"/>
    <w:rsid w:val="002F38DB"/>
    <w:rsid w:val="002F43AA"/>
    <w:rsid w:val="002F4600"/>
    <w:rsid w:val="002F465A"/>
    <w:rsid w:val="002F500F"/>
    <w:rsid w:val="002F5523"/>
    <w:rsid w:val="002F5978"/>
    <w:rsid w:val="00305B37"/>
    <w:rsid w:val="00311006"/>
    <w:rsid w:val="003120D1"/>
    <w:rsid w:val="00312980"/>
    <w:rsid w:val="003146A0"/>
    <w:rsid w:val="00314BEA"/>
    <w:rsid w:val="00322124"/>
    <w:rsid w:val="003225D3"/>
    <w:rsid w:val="00323D3C"/>
    <w:rsid w:val="00330342"/>
    <w:rsid w:val="00333A24"/>
    <w:rsid w:val="003342FD"/>
    <w:rsid w:val="0033684B"/>
    <w:rsid w:val="00337F01"/>
    <w:rsid w:val="003408C9"/>
    <w:rsid w:val="00340EFD"/>
    <w:rsid w:val="00341355"/>
    <w:rsid w:val="00342E85"/>
    <w:rsid w:val="0034792D"/>
    <w:rsid w:val="00347EB5"/>
    <w:rsid w:val="003511D5"/>
    <w:rsid w:val="00351B18"/>
    <w:rsid w:val="00355F5C"/>
    <w:rsid w:val="003572EC"/>
    <w:rsid w:val="00363835"/>
    <w:rsid w:val="00364B23"/>
    <w:rsid w:val="003656D6"/>
    <w:rsid w:val="00365D3B"/>
    <w:rsid w:val="00367501"/>
    <w:rsid w:val="0037058F"/>
    <w:rsid w:val="00371309"/>
    <w:rsid w:val="003716A7"/>
    <w:rsid w:val="00372E1C"/>
    <w:rsid w:val="003769F4"/>
    <w:rsid w:val="00376B06"/>
    <w:rsid w:val="00377EAD"/>
    <w:rsid w:val="00381D8E"/>
    <w:rsid w:val="003821F7"/>
    <w:rsid w:val="00383629"/>
    <w:rsid w:val="00385333"/>
    <w:rsid w:val="00385622"/>
    <w:rsid w:val="00385ECD"/>
    <w:rsid w:val="003861B2"/>
    <w:rsid w:val="00387AC3"/>
    <w:rsid w:val="003905C3"/>
    <w:rsid w:val="00391288"/>
    <w:rsid w:val="00392FBE"/>
    <w:rsid w:val="00396CD3"/>
    <w:rsid w:val="00397121"/>
    <w:rsid w:val="003A3A59"/>
    <w:rsid w:val="003A5287"/>
    <w:rsid w:val="003A7D0C"/>
    <w:rsid w:val="003B08DD"/>
    <w:rsid w:val="003B0EFC"/>
    <w:rsid w:val="003B1E11"/>
    <w:rsid w:val="003B2D42"/>
    <w:rsid w:val="003B7673"/>
    <w:rsid w:val="003C17BE"/>
    <w:rsid w:val="003C26FE"/>
    <w:rsid w:val="003C5204"/>
    <w:rsid w:val="003C5C1B"/>
    <w:rsid w:val="003C74D7"/>
    <w:rsid w:val="003D2777"/>
    <w:rsid w:val="003E2B7C"/>
    <w:rsid w:val="003E4C68"/>
    <w:rsid w:val="003E4CB6"/>
    <w:rsid w:val="003E6076"/>
    <w:rsid w:val="003E686A"/>
    <w:rsid w:val="003E6B2F"/>
    <w:rsid w:val="003F54EF"/>
    <w:rsid w:val="00400CE8"/>
    <w:rsid w:val="0040353B"/>
    <w:rsid w:val="004041E7"/>
    <w:rsid w:val="004045C4"/>
    <w:rsid w:val="00404879"/>
    <w:rsid w:val="00404CA2"/>
    <w:rsid w:val="004059B8"/>
    <w:rsid w:val="00406EEE"/>
    <w:rsid w:val="00407596"/>
    <w:rsid w:val="004078D9"/>
    <w:rsid w:val="00407C7E"/>
    <w:rsid w:val="0041116B"/>
    <w:rsid w:val="00411B78"/>
    <w:rsid w:val="00413396"/>
    <w:rsid w:val="00413C9A"/>
    <w:rsid w:val="00414307"/>
    <w:rsid w:val="00415A8A"/>
    <w:rsid w:val="00421A5E"/>
    <w:rsid w:val="00422348"/>
    <w:rsid w:val="00423359"/>
    <w:rsid w:val="00424400"/>
    <w:rsid w:val="004258C6"/>
    <w:rsid w:val="00426006"/>
    <w:rsid w:val="0042788D"/>
    <w:rsid w:val="0043247A"/>
    <w:rsid w:val="00433824"/>
    <w:rsid w:val="00434ABC"/>
    <w:rsid w:val="004415A2"/>
    <w:rsid w:val="004426C4"/>
    <w:rsid w:val="0044343C"/>
    <w:rsid w:val="004436A6"/>
    <w:rsid w:val="00451EEC"/>
    <w:rsid w:val="00452F89"/>
    <w:rsid w:val="00454BCE"/>
    <w:rsid w:val="0046271D"/>
    <w:rsid w:val="00463C05"/>
    <w:rsid w:val="00466D16"/>
    <w:rsid w:val="004737C7"/>
    <w:rsid w:val="004742F5"/>
    <w:rsid w:val="00476398"/>
    <w:rsid w:val="0048053D"/>
    <w:rsid w:val="00480E44"/>
    <w:rsid w:val="004813DA"/>
    <w:rsid w:val="00481B60"/>
    <w:rsid w:val="00482DE2"/>
    <w:rsid w:val="00482E8B"/>
    <w:rsid w:val="00485444"/>
    <w:rsid w:val="004867EA"/>
    <w:rsid w:val="00486CA6"/>
    <w:rsid w:val="00487258"/>
    <w:rsid w:val="00487EB1"/>
    <w:rsid w:val="00492613"/>
    <w:rsid w:val="00494BED"/>
    <w:rsid w:val="00494F64"/>
    <w:rsid w:val="004960C6"/>
    <w:rsid w:val="0049640B"/>
    <w:rsid w:val="004A0FC7"/>
    <w:rsid w:val="004A1015"/>
    <w:rsid w:val="004A131B"/>
    <w:rsid w:val="004A196C"/>
    <w:rsid w:val="004A2026"/>
    <w:rsid w:val="004A6788"/>
    <w:rsid w:val="004A7323"/>
    <w:rsid w:val="004B208A"/>
    <w:rsid w:val="004B2A77"/>
    <w:rsid w:val="004B42D3"/>
    <w:rsid w:val="004B528A"/>
    <w:rsid w:val="004B58D5"/>
    <w:rsid w:val="004B7A27"/>
    <w:rsid w:val="004C1772"/>
    <w:rsid w:val="004C1C8B"/>
    <w:rsid w:val="004C1EEF"/>
    <w:rsid w:val="004C2526"/>
    <w:rsid w:val="004C28C3"/>
    <w:rsid w:val="004C2E23"/>
    <w:rsid w:val="004C373F"/>
    <w:rsid w:val="004C45F5"/>
    <w:rsid w:val="004C522D"/>
    <w:rsid w:val="004C64C7"/>
    <w:rsid w:val="004C705D"/>
    <w:rsid w:val="004C7AC5"/>
    <w:rsid w:val="004D1D14"/>
    <w:rsid w:val="004D31BC"/>
    <w:rsid w:val="004E557A"/>
    <w:rsid w:val="004E6BF0"/>
    <w:rsid w:val="004E7563"/>
    <w:rsid w:val="004F25FC"/>
    <w:rsid w:val="004F2E14"/>
    <w:rsid w:val="004F4A2F"/>
    <w:rsid w:val="0050244D"/>
    <w:rsid w:val="00504112"/>
    <w:rsid w:val="0050667B"/>
    <w:rsid w:val="0050755A"/>
    <w:rsid w:val="005108EE"/>
    <w:rsid w:val="005123A3"/>
    <w:rsid w:val="005145ED"/>
    <w:rsid w:val="00515458"/>
    <w:rsid w:val="005154B6"/>
    <w:rsid w:val="005165F6"/>
    <w:rsid w:val="00517C68"/>
    <w:rsid w:val="005206D8"/>
    <w:rsid w:val="00520C0D"/>
    <w:rsid w:val="00520E33"/>
    <w:rsid w:val="00521844"/>
    <w:rsid w:val="0052208C"/>
    <w:rsid w:val="00522AE1"/>
    <w:rsid w:val="00523790"/>
    <w:rsid w:val="00523912"/>
    <w:rsid w:val="005321C9"/>
    <w:rsid w:val="00533854"/>
    <w:rsid w:val="0053467D"/>
    <w:rsid w:val="0053513F"/>
    <w:rsid w:val="00545243"/>
    <w:rsid w:val="00550262"/>
    <w:rsid w:val="00550A2D"/>
    <w:rsid w:val="00551157"/>
    <w:rsid w:val="00555302"/>
    <w:rsid w:val="005627A7"/>
    <w:rsid w:val="005645E6"/>
    <w:rsid w:val="00564D6D"/>
    <w:rsid w:val="00573ABD"/>
    <w:rsid w:val="005753AE"/>
    <w:rsid w:val="00581384"/>
    <w:rsid w:val="005818C4"/>
    <w:rsid w:val="00590F7C"/>
    <w:rsid w:val="0059384E"/>
    <w:rsid w:val="00596C0A"/>
    <w:rsid w:val="005A0ADD"/>
    <w:rsid w:val="005A0AF4"/>
    <w:rsid w:val="005A2B75"/>
    <w:rsid w:val="005A3950"/>
    <w:rsid w:val="005A5A8F"/>
    <w:rsid w:val="005A6248"/>
    <w:rsid w:val="005B218F"/>
    <w:rsid w:val="005B4827"/>
    <w:rsid w:val="005B657D"/>
    <w:rsid w:val="005B6C3B"/>
    <w:rsid w:val="005C0214"/>
    <w:rsid w:val="005C0EE7"/>
    <w:rsid w:val="005C3746"/>
    <w:rsid w:val="005C4B6A"/>
    <w:rsid w:val="005C4C8B"/>
    <w:rsid w:val="005C57DD"/>
    <w:rsid w:val="005D0021"/>
    <w:rsid w:val="005D0BA3"/>
    <w:rsid w:val="005D1EAD"/>
    <w:rsid w:val="005D3211"/>
    <w:rsid w:val="005D3FCB"/>
    <w:rsid w:val="005D405B"/>
    <w:rsid w:val="005D475D"/>
    <w:rsid w:val="005D769D"/>
    <w:rsid w:val="005E0459"/>
    <w:rsid w:val="005E4FD3"/>
    <w:rsid w:val="005E5256"/>
    <w:rsid w:val="005E54C4"/>
    <w:rsid w:val="005E5714"/>
    <w:rsid w:val="005E5966"/>
    <w:rsid w:val="005E7696"/>
    <w:rsid w:val="005E7A77"/>
    <w:rsid w:val="005F03A8"/>
    <w:rsid w:val="005F4543"/>
    <w:rsid w:val="005F4D21"/>
    <w:rsid w:val="005F52F3"/>
    <w:rsid w:val="005F562A"/>
    <w:rsid w:val="005F6178"/>
    <w:rsid w:val="0060066C"/>
    <w:rsid w:val="00600752"/>
    <w:rsid w:val="00601166"/>
    <w:rsid w:val="00602C09"/>
    <w:rsid w:val="006039D6"/>
    <w:rsid w:val="00603EA0"/>
    <w:rsid w:val="006040CE"/>
    <w:rsid w:val="006061D8"/>
    <w:rsid w:val="006073A4"/>
    <w:rsid w:val="0061333D"/>
    <w:rsid w:val="00613DE4"/>
    <w:rsid w:val="00615787"/>
    <w:rsid w:val="00615893"/>
    <w:rsid w:val="00616A06"/>
    <w:rsid w:val="00616B21"/>
    <w:rsid w:val="00616D4B"/>
    <w:rsid w:val="006174E1"/>
    <w:rsid w:val="00617BD4"/>
    <w:rsid w:val="00622BB0"/>
    <w:rsid w:val="00627612"/>
    <w:rsid w:val="00630E33"/>
    <w:rsid w:val="00632CB5"/>
    <w:rsid w:val="006355A7"/>
    <w:rsid w:val="006419F8"/>
    <w:rsid w:val="00641F41"/>
    <w:rsid w:val="0064266B"/>
    <w:rsid w:val="006430B5"/>
    <w:rsid w:val="00646ACE"/>
    <w:rsid w:val="006476DB"/>
    <w:rsid w:val="00647987"/>
    <w:rsid w:val="00650D76"/>
    <w:rsid w:val="00651DF9"/>
    <w:rsid w:val="00652B1B"/>
    <w:rsid w:val="00652D77"/>
    <w:rsid w:val="00653880"/>
    <w:rsid w:val="00655901"/>
    <w:rsid w:val="00661787"/>
    <w:rsid w:val="006629F8"/>
    <w:rsid w:val="00664108"/>
    <w:rsid w:val="00666BD2"/>
    <w:rsid w:val="0066708B"/>
    <w:rsid w:val="006732BA"/>
    <w:rsid w:val="00675F11"/>
    <w:rsid w:val="00676665"/>
    <w:rsid w:val="0067689E"/>
    <w:rsid w:val="00680816"/>
    <w:rsid w:val="00680DF4"/>
    <w:rsid w:val="00681E19"/>
    <w:rsid w:val="00682093"/>
    <w:rsid w:val="00682E46"/>
    <w:rsid w:val="00683CCD"/>
    <w:rsid w:val="0068501E"/>
    <w:rsid w:val="006870D6"/>
    <w:rsid w:val="00690799"/>
    <w:rsid w:val="0069258B"/>
    <w:rsid w:val="0069345F"/>
    <w:rsid w:val="00693D2D"/>
    <w:rsid w:val="00695BA6"/>
    <w:rsid w:val="006A3DA3"/>
    <w:rsid w:val="006A4270"/>
    <w:rsid w:val="006A4696"/>
    <w:rsid w:val="006A4CBF"/>
    <w:rsid w:val="006A5312"/>
    <w:rsid w:val="006A7B6E"/>
    <w:rsid w:val="006B19CB"/>
    <w:rsid w:val="006B2BE4"/>
    <w:rsid w:val="006B3030"/>
    <w:rsid w:val="006B49FD"/>
    <w:rsid w:val="006C02F6"/>
    <w:rsid w:val="006C0C42"/>
    <w:rsid w:val="006C13BE"/>
    <w:rsid w:val="006C32C8"/>
    <w:rsid w:val="006D099F"/>
    <w:rsid w:val="006D09EE"/>
    <w:rsid w:val="006D1513"/>
    <w:rsid w:val="006D2F1C"/>
    <w:rsid w:val="006D4E88"/>
    <w:rsid w:val="006E1C99"/>
    <w:rsid w:val="006F157D"/>
    <w:rsid w:val="006F20AC"/>
    <w:rsid w:val="006F3DBB"/>
    <w:rsid w:val="006F41B6"/>
    <w:rsid w:val="006F50EE"/>
    <w:rsid w:val="006F645E"/>
    <w:rsid w:val="006F6EDE"/>
    <w:rsid w:val="006F7312"/>
    <w:rsid w:val="006F753A"/>
    <w:rsid w:val="007008A3"/>
    <w:rsid w:val="007054D5"/>
    <w:rsid w:val="0070777F"/>
    <w:rsid w:val="00710959"/>
    <w:rsid w:val="00711F66"/>
    <w:rsid w:val="00713E48"/>
    <w:rsid w:val="00715E5B"/>
    <w:rsid w:val="00716289"/>
    <w:rsid w:val="007163C9"/>
    <w:rsid w:val="007173C6"/>
    <w:rsid w:val="007216A6"/>
    <w:rsid w:val="00721D5B"/>
    <w:rsid w:val="00723170"/>
    <w:rsid w:val="00723B9B"/>
    <w:rsid w:val="00724D70"/>
    <w:rsid w:val="00725699"/>
    <w:rsid w:val="0072601A"/>
    <w:rsid w:val="00730398"/>
    <w:rsid w:val="0073141F"/>
    <w:rsid w:val="00731C46"/>
    <w:rsid w:val="00732E14"/>
    <w:rsid w:val="0073497E"/>
    <w:rsid w:val="00734ABC"/>
    <w:rsid w:val="00734B2F"/>
    <w:rsid w:val="007369EA"/>
    <w:rsid w:val="007433E4"/>
    <w:rsid w:val="00743D33"/>
    <w:rsid w:val="007443BF"/>
    <w:rsid w:val="007465FC"/>
    <w:rsid w:val="00746835"/>
    <w:rsid w:val="00746A7F"/>
    <w:rsid w:val="00746CA5"/>
    <w:rsid w:val="00750AC3"/>
    <w:rsid w:val="00754B58"/>
    <w:rsid w:val="00755452"/>
    <w:rsid w:val="00755BD2"/>
    <w:rsid w:val="00760C9A"/>
    <w:rsid w:val="00763835"/>
    <w:rsid w:val="00765913"/>
    <w:rsid w:val="007726CE"/>
    <w:rsid w:val="00776B4C"/>
    <w:rsid w:val="00782863"/>
    <w:rsid w:val="00793E08"/>
    <w:rsid w:val="00794E8C"/>
    <w:rsid w:val="007952D1"/>
    <w:rsid w:val="00795522"/>
    <w:rsid w:val="0079602F"/>
    <w:rsid w:val="00797C0F"/>
    <w:rsid w:val="007A062F"/>
    <w:rsid w:val="007A0A50"/>
    <w:rsid w:val="007A6E39"/>
    <w:rsid w:val="007B40C8"/>
    <w:rsid w:val="007B4271"/>
    <w:rsid w:val="007C02F5"/>
    <w:rsid w:val="007C22E8"/>
    <w:rsid w:val="007C388B"/>
    <w:rsid w:val="007C464B"/>
    <w:rsid w:val="007C6DE1"/>
    <w:rsid w:val="007C75D4"/>
    <w:rsid w:val="007C7AED"/>
    <w:rsid w:val="007D0394"/>
    <w:rsid w:val="007D2B43"/>
    <w:rsid w:val="007D571B"/>
    <w:rsid w:val="007D58E4"/>
    <w:rsid w:val="007E2196"/>
    <w:rsid w:val="007E35E9"/>
    <w:rsid w:val="007E6C99"/>
    <w:rsid w:val="007E7AA1"/>
    <w:rsid w:val="007F2A9A"/>
    <w:rsid w:val="007F2EE9"/>
    <w:rsid w:val="007F4CDA"/>
    <w:rsid w:val="007F7489"/>
    <w:rsid w:val="0080126A"/>
    <w:rsid w:val="00804AAD"/>
    <w:rsid w:val="00806574"/>
    <w:rsid w:val="008078C9"/>
    <w:rsid w:val="00807E4E"/>
    <w:rsid w:val="00810214"/>
    <w:rsid w:val="00814A89"/>
    <w:rsid w:val="008158B3"/>
    <w:rsid w:val="008172D3"/>
    <w:rsid w:val="008204C9"/>
    <w:rsid w:val="00821E30"/>
    <w:rsid w:val="00824C15"/>
    <w:rsid w:val="00826BD6"/>
    <w:rsid w:val="00827626"/>
    <w:rsid w:val="00831270"/>
    <w:rsid w:val="00832AF3"/>
    <w:rsid w:val="0083348C"/>
    <w:rsid w:val="00834123"/>
    <w:rsid w:val="008355AF"/>
    <w:rsid w:val="00835D41"/>
    <w:rsid w:val="008365A8"/>
    <w:rsid w:val="008403BC"/>
    <w:rsid w:val="0084379E"/>
    <w:rsid w:val="00845053"/>
    <w:rsid w:val="008505F6"/>
    <w:rsid w:val="00850C9F"/>
    <w:rsid w:val="00853701"/>
    <w:rsid w:val="00854C0F"/>
    <w:rsid w:val="0085570B"/>
    <w:rsid w:val="00855DE5"/>
    <w:rsid w:val="00856846"/>
    <w:rsid w:val="00856E2C"/>
    <w:rsid w:val="00860B84"/>
    <w:rsid w:val="00860FC1"/>
    <w:rsid w:val="0086183F"/>
    <w:rsid w:val="00864F1F"/>
    <w:rsid w:val="008673D5"/>
    <w:rsid w:val="0086751E"/>
    <w:rsid w:val="00867A8D"/>
    <w:rsid w:val="00867FE2"/>
    <w:rsid w:val="008711D9"/>
    <w:rsid w:val="00873744"/>
    <w:rsid w:val="008740E3"/>
    <w:rsid w:val="0087465E"/>
    <w:rsid w:val="00874A57"/>
    <w:rsid w:val="00874E67"/>
    <w:rsid w:val="008760F4"/>
    <w:rsid w:val="00876BB1"/>
    <w:rsid w:val="0087761D"/>
    <w:rsid w:val="00881B07"/>
    <w:rsid w:val="0088603A"/>
    <w:rsid w:val="00886F63"/>
    <w:rsid w:val="00886FDA"/>
    <w:rsid w:val="0088724C"/>
    <w:rsid w:val="008874BE"/>
    <w:rsid w:val="008877AA"/>
    <w:rsid w:val="00891CAA"/>
    <w:rsid w:val="00892C70"/>
    <w:rsid w:val="00893C82"/>
    <w:rsid w:val="00895DE8"/>
    <w:rsid w:val="008974DF"/>
    <w:rsid w:val="00897F01"/>
    <w:rsid w:val="008A33D1"/>
    <w:rsid w:val="008C1885"/>
    <w:rsid w:val="008C5E19"/>
    <w:rsid w:val="008C5EDB"/>
    <w:rsid w:val="008C64CB"/>
    <w:rsid w:val="008C72A9"/>
    <w:rsid w:val="008C781A"/>
    <w:rsid w:val="008D51EA"/>
    <w:rsid w:val="008D7016"/>
    <w:rsid w:val="008E11A7"/>
    <w:rsid w:val="008E1253"/>
    <w:rsid w:val="008E2BA2"/>
    <w:rsid w:val="008E33CD"/>
    <w:rsid w:val="008E3F05"/>
    <w:rsid w:val="008E5B30"/>
    <w:rsid w:val="008E5C66"/>
    <w:rsid w:val="008E772D"/>
    <w:rsid w:val="008F09F8"/>
    <w:rsid w:val="008F148C"/>
    <w:rsid w:val="008F320F"/>
    <w:rsid w:val="008F330E"/>
    <w:rsid w:val="008F570C"/>
    <w:rsid w:val="008F7CD0"/>
    <w:rsid w:val="009010F4"/>
    <w:rsid w:val="00901364"/>
    <w:rsid w:val="009058C2"/>
    <w:rsid w:val="00907415"/>
    <w:rsid w:val="00910FD7"/>
    <w:rsid w:val="00911BB1"/>
    <w:rsid w:val="00917538"/>
    <w:rsid w:val="009229D3"/>
    <w:rsid w:val="00922F5E"/>
    <w:rsid w:val="00926E93"/>
    <w:rsid w:val="00932C54"/>
    <w:rsid w:val="009365F2"/>
    <w:rsid w:val="00936A64"/>
    <w:rsid w:val="0093734E"/>
    <w:rsid w:val="00937D40"/>
    <w:rsid w:val="00937F0F"/>
    <w:rsid w:val="00941092"/>
    <w:rsid w:val="00941D4E"/>
    <w:rsid w:val="00943E50"/>
    <w:rsid w:val="0094405E"/>
    <w:rsid w:val="009453AC"/>
    <w:rsid w:val="00950695"/>
    <w:rsid w:val="00951D5D"/>
    <w:rsid w:val="0095401C"/>
    <w:rsid w:val="0095416C"/>
    <w:rsid w:val="0095526B"/>
    <w:rsid w:val="00957531"/>
    <w:rsid w:val="009600FA"/>
    <w:rsid w:val="009604F6"/>
    <w:rsid w:val="009615B3"/>
    <w:rsid w:val="009642BE"/>
    <w:rsid w:val="00964A9E"/>
    <w:rsid w:val="009652EF"/>
    <w:rsid w:val="0096774E"/>
    <w:rsid w:val="00967B02"/>
    <w:rsid w:val="00967B68"/>
    <w:rsid w:val="00970064"/>
    <w:rsid w:val="00970C74"/>
    <w:rsid w:val="00976A3E"/>
    <w:rsid w:val="0098123F"/>
    <w:rsid w:val="00991D2E"/>
    <w:rsid w:val="00994617"/>
    <w:rsid w:val="009947A6"/>
    <w:rsid w:val="009A3111"/>
    <w:rsid w:val="009A450E"/>
    <w:rsid w:val="009A4C4C"/>
    <w:rsid w:val="009B097F"/>
    <w:rsid w:val="009B18AC"/>
    <w:rsid w:val="009B20D5"/>
    <w:rsid w:val="009B452A"/>
    <w:rsid w:val="009B60D8"/>
    <w:rsid w:val="009B64CA"/>
    <w:rsid w:val="009B7DF6"/>
    <w:rsid w:val="009C1283"/>
    <w:rsid w:val="009C2992"/>
    <w:rsid w:val="009C6694"/>
    <w:rsid w:val="009C74AF"/>
    <w:rsid w:val="009C7896"/>
    <w:rsid w:val="009D3557"/>
    <w:rsid w:val="009D3F12"/>
    <w:rsid w:val="009D4A5E"/>
    <w:rsid w:val="009D545B"/>
    <w:rsid w:val="009D70C5"/>
    <w:rsid w:val="009E34C9"/>
    <w:rsid w:val="009E5687"/>
    <w:rsid w:val="009E6D44"/>
    <w:rsid w:val="009F385B"/>
    <w:rsid w:val="009F4295"/>
    <w:rsid w:val="009F7A84"/>
    <w:rsid w:val="00A00A6D"/>
    <w:rsid w:val="00A045CE"/>
    <w:rsid w:val="00A05F3B"/>
    <w:rsid w:val="00A0786E"/>
    <w:rsid w:val="00A10043"/>
    <w:rsid w:val="00A1110E"/>
    <w:rsid w:val="00A119C2"/>
    <w:rsid w:val="00A11C82"/>
    <w:rsid w:val="00A1216A"/>
    <w:rsid w:val="00A12CE5"/>
    <w:rsid w:val="00A14A9E"/>
    <w:rsid w:val="00A167D7"/>
    <w:rsid w:val="00A214A9"/>
    <w:rsid w:val="00A214C8"/>
    <w:rsid w:val="00A240A7"/>
    <w:rsid w:val="00A27D3E"/>
    <w:rsid w:val="00A31FFF"/>
    <w:rsid w:val="00A32567"/>
    <w:rsid w:val="00A327B4"/>
    <w:rsid w:val="00A335F2"/>
    <w:rsid w:val="00A336EE"/>
    <w:rsid w:val="00A349AA"/>
    <w:rsid w:val="00A35A24"/>
    <w:rsid w:val="00A36B42"/>
    <w:rsid w:val="00A36DA8"/>
    <w:rsid w:val="00A411E7"/>
    <w:rsid w:val="00A44197"/>
    <w:rsid w:val="00A449E9"/>
    <w:rsid w:val="00A46084"/>
    <w:rsid w:val="00A5326A"/>
    <w:rsid w:val="00A61DF6"/>
    <w:rsid w:val="00A62F31"/>
    <w:rsid w:val="00A6439E"/>
    <w:rsid w:val="00A71499"/>
    <w:rsid w:val="00A727B8"/>
    <w:rsid w:val="00A72D4C"/>
    <w:rsid w:val="00A73B41"/>
    <w:rsid w:val="00A7633C"/>
    <w:rsid w:val="00A808E6"/>
    <w:rsid w:val="00A829A7"/>
    <w:rsid w:val="00A8447A"/>
    <w:rsid w:val="00A864C3"/>
    <w:rsid w:val="00A87761"/>
    <w:rsid w:val="00A8784E"/>
    <w:rsid w:val="00A91122"/>
    <w:rsid w:val="00A91237"/>
    <w:rsid w:val="00A924FF"/>
    <w:rsid w:val="00A94325"/>
    <w:rsid w:val="00AA0264"/>
    <w:rsid w:val="00AA1394"/>
    <w:rsid w:val="00AA1451"/>
    <w:rsid w:val="00AA5831"/>
    <w:rsid w:val="00AA7767"/>
    <w:rsid w:val="00AB18A6"/>
    <w:rsid w:val="00AB1A0A"/>
    <w:rsid w:val="00AB3144"/>
    <w:rsid w:val="00AC15CC"/>
    <w:rsid w:val="00AC3112"/>
    <w:rsid w:val="00AC727E"/>
    <w:rsid w:val="00AC7FB3"/>
    <w:rsid w:val="00AD1135"/>
    <w:rsid w:val="00AD2217"/>
    <w:rsid w:val="00AD446D"/>
    <w:rsid w:val="00AD6DDA"/>
    <w:rsid w:val="00AD709C"/>
    <w:rsid w:val="00AE019C"/>
    <w:rsid w:val="00AE255D"/>
    <w:rsid w:val="00AE5887"/>
    <w:rsid w:val="00AE633D"/>
    <w:rsid w:val="00AF2479"/>
    <w:rsid w:val="00AF24A3"/>
    <w:rsid w:val="00AF261E"/>
    <w:rsid w:val="00AF50D9"/>
    <w:rsid w:val="00AF55B4"/>
    <w:rsid w:val="00AF6F8D"/>
    <w:rsid w:val="00AF7D4C"/>
    <w:rsid w:val="00B006D2"/>
    <w:rsid w:val="00B02319"/>
    <w:rsid w:val="00B044AF"/>
    <w:rsid w:val="00B06BF5"/>
    <w:rsid w:val="00B12AFB"/>
    <w:rsid w:val="00B1394F"/>
    <w:rsid w:val="00B15092"/>
    <w:rsid w:val="00B15AE4"/>
    <w:rsid w:val="00B20F2E"/>
    <w:rsid w:val="00B22DF6"/>
    <w:rsid w:val="00B23E2F"/>
    <w:rsid w:val="00B2431F"/>
    <w:rsid w:val="00B27E89"/>
    <w:rsid w:val="00B35BFE"/>
    <w:rsid w:val="00B36DB9"/>
    <w:rsid w:val="00B37F62"/>
    <w:rsid w:val="00B401ED"/>
    <w:rsid w:val="00B41FF8"/>
    <w:rsid w:val="00B426BF"/>
    <w:rsid w:val="00B4682C"/>
    <w:rsid w:val="00B51591"/>
    <w:rsid w:val="00B5342A"/>
    <w:rsid w:val="00B535CE"/>
    <w:rsid w:val="00B53FC8"/>
    <w:rsid w:val="00B55A00"/>
    <w:rsid w:val="00B6182A"/>
    <w:rsid w:val="00B622D2"/>
    <w:rsid w:val="00B62343"/>
    <w:rsid w:val="00B63A5E"/>
    <w:rsid w:val="00B6487C"/>
    <w:rsid w:val="00B66DB0"/>
    <w:rsid w:val="00B6707A"/>
    <w:rsid w:val="00B70A49"/>
    <w:rsid w:val="00B70FF2"/>
    <w:rsid w:val="00B747E5"/>
    <w:rsid w:val="00B8087A"/>
    <w:rsid w:val="00B808D9"/>
    <w:rsid w:val="00B83698"/>
    <w:rsid w:val="00B83CC1"/>
    <w:rsid w:val="00B845A0"/>
    <w:rsid w:val="00B86F42"/>
    <w:rsid w:val="00B9140D"/>
    <w:rsid w:val="00B91B44"/>
    <w:rsid w:val="00B976B0"/>
    <w:rsid w:val="00BA221A"/>
    <w:rsid w:val="00BA24C0"/>
    <w:rsid w:val="00BA281A"/>
    <w:rsid w:val="00BA28A4"/>
    <w:rsid w:val="00BA4589"/>
    <w:rsid w:val="00BA4DB6"/>
    <w:rsid w:val="00BA5D06"/>
    <w:rsid w:val="00BA6B2B"/>
    <w:rsid w:val="00BB1695"/>
    <w:rsid w:val="00BB2E75"/>
    <w:rsid w:val="00BB347A"/>
    <w:rsid w:val="00BB3900"/>
    <w:rsid w:val="00BB5693"/>
    <w:rsid w:val="00BB5B37"/>
    <w:rsid w:val="00BB61A0"/>
    <w:rsid w:val="00BB6A38"/>
    <w:rsid w:val="00BC1172"/>
    <w:rsid w:val="00BC1387"/>
    <w:rsid w:val="00BC168B"/>
    <w:rsid w:val="00BC1944"/>
    <w:rsid w:val="00BC338E"/>
    <w:rsid w:val="00BC548B"/>
    <w:rsid w:val="00BC6DA6"/>
    <w:rsid w:val="00BD17AE"/>
    <w:rsid w:val="00BD34F2"/>
    <w:rsid w:val="00BD648A"/>
    <w:rsid w:val="00BD64A6"/>
    <w:rsid w:val="00BD650B"/>
    <w:rsid w:val="00BD7CEF"/>
    <w:rsid w:val="00BE140F"/>
    <w:rsid w:val="00BE16BE"/>
    <w:rsid w:val="00BE2EC1"/>
    <w:rsid w:val="00BE3EF3"/>
    <w:rsid w:val="00BE638F"/>
    <w:rsid w:val="00BE64E5"/>
    <w:rsid w:val="00BE67AE"/>
    <w:rsid w:val="00BE6C93"/>
    <w:rsid w:val="00BF0D58"/>
    <w:rsid w:val="00BF362C"/>
    <w:rsid w:val="00BF3767"/>
    <w:rsid w:val="00C02E55"/>
    <w:rsid w:val="00C03FB7"/>
    <w:rsid w:val="00C10251"/>
    <w:rsid w:val="00C12690"/>
    <w:rsid w:val="00C13ECC"/>
    <w:rsid w:val="00C13F3C"/>
    <w:rsid w:val="00C15BBF"/>
    <w:rsid w:val="00C17580"/>
    <w:rsid w:val="00C20E57"/>
    <w:rsid w:val="00C221BF"/>
    <w:rsid w:val="00C26EBC"/>
    <w:rsid w:val="00C27289"/>
    <w:rsid w:val="00C31551"/>
    <w:rsid w:val="00C31851"/>
    <w:rsid w:val="00C322DA"/>
    <w:rsid w:val="00C34A19"/>
    <w:rsid w:val="00C364B1"/>
    <w:rsid w:val="00C43F4A"/>
    <w:rsid w:val="00C44FEF"/>
    <w:rsid w:val="00C45182"/>
    <w:rsid w:val="00C462AF"/>
    <w:rsid w:val="00C509D5"/>
    <w:rsid w:val="00C52418"/>
    <w:rsid w:val="00C525BD"/>
    <w:rsid w:val="00C52990"/>
    <w:rsid w:val="00C61666"/>
    <w:rsid w:val="00C61C2F"/>
    <w:rsid w:val="00C65EAB"/>
    <w:rsid w:val="00C747C3"/>
    <w:rsid w:val="00C7516A"/>
    <w:rsid w:val="00C76BE5"/>
    <w:rsid w:val="00C8089F"/>
    <w:rsid w:val="00C81342"/>
    <w:rsid w:val="00C816FF"/>
    <w:rsid w:val="00C86B24"/>
    <w:rsid w:val="00C87B94"/>
    <w:rsid w:val="00C87C4E"/>
    <w:rsid w:val="00C90501"/>
    <w:rsid w:val="00C91788"/>
    <w:rsid w:val="00C95BA7"/>
    <w:rsid w:val="00C97B2B"/>
    <w:rsid w:val="00CA1F1E"/>
    <w:rsid w:val="00CA5BF2"/>
    <w:rsid w:val="00CA6111"/>
    <w:rsid w:val="00CA61DD"/>
    <w:rsid w:val="00CB10B4"/>
    <w:rsid w:val="00CB1CF3"/>
    <w:rsid w:val="00CB40C8"/>
    <w:rsid w:val="00CB40CA"/>
    <w:rsid w:val="00CC3BA5"/>
    <w:rsid w:val="00CC5439"/>
    <w:rsid w:val="00CC5B12"/>
    <w:rsid w:val="00CD014C"/>
    <w:rsid w:val="00CD1462"/>
    <w:rsid w:val="00CD3597"/>
    <w:rsid w:val="00CD3611"/>
    <w:rsid w:val="00CE11F8"/>
    <w:rsid w:val="00CE25EA"/>
    <w:rsid w:val="00CE521F"/>
    <w:rsid w:val="00CE5B18"/>
    <w:rsid w:val="00CE730B"/>
    <w:rsid w:val="00CE7FB6"/>
    <w:rsid w:val="00CF0537"/>
    <w:rsid w:val="00CF0938"/>
    <w:rsid w:val="00CF25BB"/>
    <w:rsid w:val="00CF34EE"/>
    <w:rsid w:val="00CF5417"/>
    <w:rsid w:val="00CF5805"/>
    <w:rsid w:val="00CF5E2F"/>
    <w:rsid w:val="00CF72AA"/>
    <w:rsid w:val="00CF7991"/>
    <w:rsid w:val="00CF79EB"/>
    <w:rsid w:val="00D00A69"/>
    <w:rsid w:val="00D014D4"/>
    <w:rsid w:val="00D032EB"/>
    <w:rsid w:val="00D04966"/>
    <w:rsid w:val="00D056DE"/>
    <w:rsid w:val="00D05F89"/>
    <w:rsid w:val="00D06362"/>
    <w:rsid w:val="00D11461"/>
    <w:rsid w:val="00D122B5"/>
    <w:rsid w:val="00D2558C"/>
    <w:rsid w:val="00D2629D"/>
    <w:rsid w:val="00D26FCC"/>
    <w:rsid w:val="00D31202"/>
    <w:rsid w:val="00D33391"/>
    <w:rsid w:val="00D379CE"/>
    <w:rsid w:val="00D40A46"/>
    <w:rsid w:val="00D42E1F"/>
    <w:rsid w:val="00D431F9"/>
    <w:rsid w:val="00D44740"/>
    <w:rsid w:val="00D454ED"/>
    <w:rsid w:val="00D45E2D"/>
    <w:rsid w:val="00D45FBE"/>
    <w:rsid w:val="00D47237"/>
    <w:rsid w:val="00D47333"/>
    <w:rsid w:val="00D50062"/>
    <w:rsid w:val="00D53F75"/>
    <w:rsid w:val="00D56A4D"/>
    <w:rsid w:val="00D612D6"/>
    <w:rsid w:val="00D63942"/>
    <w:rsid w:val="00D64455"/>
    <w:rsid w:val="00D6541C"/>
    <w:rsid w:val="00D70629"/>
    <w:rsid w:val="00D71ED2"/>
    <w:rsid w:val="00D730A6"/>
    <w:rsid w:val="00D74D89"/>
    <w:rsid w:val="00D74EAA"/>
    <w:rsid w:val="00D75116"/>
    <w:rsid w:val="00D77BC6"/>
    <w:rsid w:val="00D8148F"/>
    <w:rsid w:val="00D83C6B"/>
    <w:rsid w:val="00D84526"/>
    <w:rsid w:val="00D86834"/>
    <w:rsid w:val="00D86F02"/>
    <w:rsid w:val="00D872DC"/>
    <w:rsid w:val="00D87B48"/>
    <w:rsid w:val="00D9268F"/>
    <w:rsid w:val="00D93D08"/>
    <w:rsid w:val="00D93FB4"/>
    <w:rsid w:val="00D95563"/>
    <w:rsid w:val="00D95AF8"/>
    <w:rsid w:val="00D969B2"/>
    <w:rsid w:val="00D97233"/>
    <w:rsid w:val="00D97334"/>
    <w:rsid w:val="00DA1DCE"/>
    <w:rsid w:val="00DA689C"/>
    <w:rsid w:val="00DA6FE5"/>
    <w:rsid w:val="00DA7D08"/>
    <w:rsid w:val="00DB0CAE"/>
    <w:rsid w:val="00DB51D5"/>
    <w:rsid w:val="00DC3AF1"/>
    <w:rsid w:val="00DC4BAC"/>
    <w:rsid w:val="00DD0F69"/>
    <w:rsid w:val="00DD2A4B"/>
    <w:rsid w:val="00DD2A92"/>
    <w:rsid w:val="00DD3A5A"/>
    <w:rsid w:val="00DD3CCE"/>
    <w:rsid w:val="00DE181C"/>
    <w:rsid w:val="00DE5DAD"/>
    <w:rsid w:val="00DF2B2A"/>
    <w:rsid w:val="00DF2CFA"/>
    <w:rsid w:val="00DF4175"/>
    <w:rsid w:val="00DF5A0D"/>
    <w:rsid w:val="00DF697A"/>
    <w:rsid w:val="00E0242F"/>
    <w:rsid w:val="00E0349F"/>
    <w:rsid w:val="00E079B9"/>
    <w:rsid w:val="00E10D1F"/>
    <w:rsid w:val="00E11ED6"/>
    <w:rsid w:val="00E1241A"/>
    <w:rsid w:val="00E12F31"/>
    <w:rsid w:val="00E13C02"/>
    <w:rsid w:val="00E14C09"/>
    <w:rsid w:val="00E15C39"/>
    <w:rsid w:val="00E25D7A"/>
    <w:rsid w:val="00E30FF7"/>
    <w:rsid w:val="00E314EC"/>
    <w:rsid w:val="00E354F0"/>
    <w:rsid w:val="00E37C7C"/>
    <w:rsid w:val="00E4004D"/>
    <w:rsid w:val="00E40501"/>
    <w:rsid w:val="00E4060C"/>
    <w:rsid w:val="00E40E8C"/>
    <w:rsid w:val="00E42BFD"/>
    <w:rsid w:val="00E43E72"/>
    <w:rsid w:val="00E44788"/>
    <w:rsid w:val="00E45398"/>
    <w:rsid w:val="00E4735F"/>
    <w:rsid w:val="00E50595"/>
    <w:rsid w:val="00E50623"/>
    <w:rsid w:val="00E50947"/>
    <w:rsid w:val="00E5113C"/>
    <w:rsid w:val="00E51672"/>
    <w:rsid w:val="00E542E0"/>
    <w:rsid w:val="00E54315"/>
    <w:rsid w:val="00E55879"/>
    <w:rsid w:val="00E57A27"/>
    <w:rsid w:val="00E600BB"/>
    <w:rsid w:val="00E6048F"/>
    <w:rsid w:val="00E60BAE"/>
    <w:rsid w:val="00E70EFF"/>
    <w:rsid w:val="00E7321F"/>
    <w:rsid w:val="00E7389E"/>
    <w:rsid w:val="00E80213"/>
    <w:rsid w:val="00E80AB6"/>
    <w:rsid w:val="00E8236E"/>
    <w:rsid w:val="00E830CD"/>
    <w:rsid w:val="00E84FB6"/>
    <w:rsid w:val="00E8671A"/>
    <w:rsid w:val="00E91107"/>
    <w:rsid w:val="00E912D3"/>
    <w:rsid w:val="00E92E12"/>
    <w:rsid w:val="00E93985"/>
    <w:rsid w:val="00E93BE4"/>
    <w:rsid w:val="00E93DD3"/>
    <w:rsid w:val="00E95DC1"/>
    <w:rsid w:val="00E96B97"/>
    <w:rsid w:val="00E96C14"/>
    <w:rsid w:val="00EA01D3"/>
    <w:rsid w:val="00EA156A"/>
    <w:rsid w:val="00EA1F80"/>
    <w:rsid w:val="00EA2B84"/>
    <w:rsid w:val="00EA46CB"/>
    <w:rsid w:val="00EA4953"/>
    <w:rsid w:val="00EA49DE"/>
    <w:rsid w:val="00EA4E22"/>
    <w:rsid w:val="00EA4ECE"/>
    <w:rsid w:val="00EA529E"/>
    <w:rsid w:val="00EA5A97"/>
    <w:rsid w:val="00EA5EA3"/>
    <w:rsid w:val="00EA7546"/>
    <w:rsid w:val="00EB2384"/>
    <w:rsid w:val="00EB2FF1"/>
    <w:rsid w:val="00EB3A58"/>
    <w:rsid w:val="00EB3E68"/>
    <w:rsid w:val="00EB67F9"/>
    <w:rsid w:val="00EB7A9E"/>
    <w:rsid w:val="00EB7DAF"/>
    <w:rsid w:val="00EC06ED"/>
    <w:rsid w:val="00EC0961"/>
    <w:rsid w:val="00EC2B05"/>
    <w:rsid w:val="00EC347D"/>
    <w:rsid w:val="00EC34F7"/>
    <w:rsid w:val="00EC451F"/>
    <w:rsid w:val="00EC480C"/>
    <w:rsid w:val="00EC59D2"/>
    <w:rsid w:val="00ED003A"/>
    <w:rsid w:val="00ED0DB1"/>
    <w:rsid w:val="00ED1C13"/>
    <w:rsid w:val="00ED5A6C"/>
    <w:rsid w:val="00ED6074"/>
    <w:rsid w:val="00ED7DC5"/>
    <w:rsid w:val="00EE1F3C"/>
    <w:rsid w:val="00EF0AC7"/>
    <w:rsid w:val="00EF1E7C"/>
    <w:rsid w:val="00EF3283"/>
    <w:rsid w:val="00EF582A"/>
    <w:rsid w:val="00EF6449"/>
    <w:rsid w:val="00F00C16"/>
    <w:rsid w:val="00F04712"/>
    <w:rsid w:val="00F06545"/>
    <w:rsid w:val="00F07061"/>
    <w:rsid w:val="00F071C6"/>
    <w:rsid w:val="00F07375"/>
    <w:rsid w:val="00F07502"/>
    <w:rsid w:val="00F10089"/>
    <w:rsid w:val="00F10911"/>
    <w:rsid w:val="00F10A53"/>
    <w:rsid w:val="00F125D1"/>
    <w:rsid w:val="00F129DE"/>
    <w:rsid w:val="00F13061"/>
    <w:rsid w:val="00F14B9C"/>
    <w:rsid w:val="00F16A7B"/>
    <w:rsid w:val="00F17451"/>
    <w:rsid w:val="00F22E2B"/>
    <w:rsid w:val="00F23161"/>
    <w:rsid w:val="00F242A1"/>
    <w:rsid w:val="00F24FF5"/>
    <w:rsid w:val="00F264B7"/>
    <w:rsid w:val="00F27167"/>
    <w:rsid w:val="00F2732B"/>
    <w:rsid w:val="00F31529"/>
    <w:rsid w:val="00F33456"/>
    <w:rsid w:val="00F37015"/>
    <w:rsid w:val="00F3795F"/>
    <w:rsid w:val="00F469BC"/>
    <w:rsid w:val="00F46C3A"/>
    <w:rsid w:val="00F54F93"/>
    <w:rsid w:val="00F5647A"/>
    <w:rsid w:val="00F63D65"/>
    <w:rsid w:val="00F66E53"/>
    <w:rsid w:val="00F71B6F"/>
    <w:rsid w:val="00F72E8E"/>
    <w:rsid w:val="00F75442"/>
    <w:rsid w:val="00F76A4A"/>
    <w:rsid w:val="00F77021"/>
    <w:rsid w:val="00F82408"/>
    <w:rsid w:val="00F82C04"/>
    <w:rsid w:val="00F863F8"/>
    <w:rsid w:val="00F907DA"/>
    <w:rsid w:val="00F932E8"/>
    <w:rsid w:val="00F94C8A"/>
    <w:rsid w:val="00F9748F"/>
    <w:rsid w:val="00F976B7"/>
    <w:rsid w:val="00F97CB7"/>
    <w:rsid w:val="00FA1912"/>
    <w:rsid w:val="00FA217E"/>
    <w:rsid w:val="00FA31B3"/>
    <w:rsid w:val="00FA6AE8"/>
    <w:rsid w:val="00FB0E5E"/>
    <w:rsid w:val="00FB1A29"/>
    <w:rsid w:val="00FC0871"/>
    <w:rsid w:val="00FC1371"/>
    <w:rsid w:val="00FC2139"/>
    <w:rsid w:val="00FC2993"/>
    <w:rsid w:val="00FC52D0"/>
    <w:rsid w:val="00FC5449"/>
    <w:rsid w:val="00FC54DC"/>
    <w:rsid w:val="00FC7711"/>
    <w:rsid w:val="00FC7B3B"/>
    <w:rsid w:val="00FC7E12"/>
    <w:rsid w:val="00FD0957"/>
    <w:rsid w:val="00FD2B13"/>
    <w:rsid w:val="00FD7E97"/>
    <w:rsid w:val="00FD7FFC"/>
    <w:rsid w:val="00FE0618"/>
    <w:rsid w:val="00FE2CEC"/>
    <w:rsid w:val="00FE5579"/>
    <w:rsid w:val="00FE5EAF"/>
    <w:rsid w:val="00FF0004"/>
    <w:rsid w:val="00FF3931"/>
    <w:rsid w:val="00FF6B0A"/>
    <w:rsid w:val="00FF7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7DF16"/>
  <w15:docId w15:val="{E603264B-2233-476C-AADE-8D192324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121"/>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Mary,List Paragraph (numbered (a)),Numbered List Paragraph,Bullets,List Bullet-OpsManual,References,Title Style 1,Colorful List - Accent 11,Normal 2,Source,Main numbered paragraph,List_Paragraph,Multilevel para_II,Sub Bullet"/>
    <w:basedOn w:val="Normal"/>
    <w:link w:val="ListParagraphChar"/>
    <w:uiPriority w:val="34"/>
    <w:qFormat/>
    <w:rsid w:val="00397121"/>
    <w:pPr>
      <w:ind w:left="720"/>
      <w:contextualSpacing/>
    </w:pPr>
  </w:style>
  <w:style w:type="table" w:styleId="TableGrid">
    <w:name w:val="Table Grid"/>
    <w:basedOn w:val="TableNormal"/>
    <w:uiPriority w:val="59"/>
    <w:rsid w:val="00397121"/>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397121"/>
    <w:rPr>
      <w:rFonts w:ascii="Times New Roman" w:eastAsia="Times New Roman" w:hAnsi="Times New Roman" w:cs="Times New Roman"/>
      <w:szCs w:val="20"/>
    </w:rPr>
  </w:style>
  <w:style w:type="character" w:customStyle="1" w:styleId="BodyTextChar">
    <w:name w:val="Body Text Char"/>
    <w:basedOn w:val="DefaultParagraphFont"/>
    <w:link w:val="BodyText"/>
    <w:rsid w:val="00397121"/>
    <w:rPr>
      <w:rFonts w:ascii="Times New Roman" w:eastAsia="Times New Roman" w:hAnsi="Times New Roman" w:cs="Times New Roman"/>
      <w:szCs w:val="20"/>
    </w:rPr>
  </w:style>
  <w:style w:type="character" w:styleId="Hyperlink">
    <w:name w:val="Hyperlink"/>
    <w:basedOn w:val="DefaultParagraphFont"/>
    <w:uiPriority w:val="99"/>
    <w:rsid w:val="002B0B4C"/>
    <w:rPr>
      <w:rFonts w:cs="Times New Roman"/>
      <w:color w:val="0000FF"/>
      <w:u w:val="single"/>
    </w:rPr>
  </w:style>
  <w:style w:type="character" w:styleId="CommentReference">
    <w:name w:val="annotation reference"/>
    <w:basedOn w:val="DefaultParagraphFont"/>
    <w:uiPriority w:val="99"/>
    <w:semiHidden/>
    <w:unhideWhenUsed/>
    <w:rsid w:val="00053EF4"/>
    <w:rPr>
      <w:sz w:val="16"/>
      <w:szCs w:val="16"/>
    </w:rPr>
  </w:style>
  <w:style w:type="paragraph" w:styleId="CommentText">
    <w:name w:val="annotation text"/>
    <w:basedOn w:val="Normal"/>
    <w:link w:val="CommentTextChar"/>
    <w:uiPriority w:val="99"/>
    <w:semiHidden/>
    <w:unhideWhenUsed/>
    <w:rsid w:val="00053EF4"/>
    <w:rPr>
      <w:sz w:val="20"/>
      <w:szCs w:val="20"/>
    </w:rPr>
  </w:style>
  <w:style w:type="character" w:customStyle="1" w:styleId="CommentTextChar">
    <w:name w:val="Comment Text Char"/>
    <w:basedOn w:val="DefaultParagraphFont"/>
    <w:link w:val="CommentText"/>
    <w:uiPriority w:val="99"/>
    <w:semiHidden/>
    <w:rsid w:val="00053EF4"/>
    <w:rPr>
      <w:sz w:val="20"/>
      <w:szCs w:val="20"/>
    </w:rPr>
  </w:style>
  <w:style w:type="paragraph" w:styleId="CommentSubject">
    <w:name w:val="annotation subject"/>
    <w:basedOn w:val="CommentText"/>
    <w:next w:val="CommentText"/>
    <w:link w:val="CommentSubjectChar"/>
    <w:uiPriority w:val="99"/>
    <w:semiHidden/>
    <w:unhideWhenUsed/>
    <w:rsid w:val="00053EF4"/>
    <w:rPr>
      <w:b/>
      <w:bCs/>
    </w:rPr>
  </w:style>
  <w:style w:type="character" w:customStyle="1" w:styleId="CommentSubjectChar">
    <w:name w:val="Comment Subject Char"/>
    <w:basedOn w:val="CommentTextChar"/>
    <w:link w:val="CommentSubject"/>
    <w:uiPriority w:val="99"/>
    <w:semiHidden/>
    <w:rsid w:val="00053EF4"/>
    <w:rPr>
      <w:b/>
      <w:bCs/>
      <w:sz w:val="20"/>
      <w:szCs w:val="20"/>
    </w:rPr>
  </w:style>
  <w:style w:type="paragraph" w:styleId="BalloonText">
    <w:name w:val="Balloon Text"/>
    <w:basedOn w:val="Normal"/>
    <w:link w:val="BalloonTextChar"/>
    <w:uiPriority w:val="99"/>
    <w:semiHidden/>
    <w:unhideWhenUsed/>
    <w:rsid w:val="00053EF4"/>
    <w:rPr>
      <w:rFonts w:ascii="Tahoma" w:hAnsi="Tahoma" w:cs="Tahoma"/>
      <w:sz w:val="16"/>
      <w:szCs w:val="16"/>
    </w:rPr>
  </w:style>
  <w:style w:type="character" w:customStyle="1" w:styleId="BalloonTextChar">
    <w:name w:val="Balloon Text Char"/>
    <w:basedOn w:val="DefaultParagraphFont"/>
    <w:link w:val="BalloonText"/>
    <w:uiPriority w:val="99"/>
    <w:semiHidden/>
    <w:rsid w:val="00053EF4"/>
    <w:rPr>
      <w:rFonts w:ascii="Tahoma" w:hAnsi="Tahoma" w:cs="Tahoma"/>
      <w:sz w:val="16"/>
      <w:szCs w:val="16"/>
    </w:rPr>
  </w:style>
  <w:style w:type="character" w:styleId="FollowedHyperlink">
    <w:name w:val="FollowedHyperlink"/>
    <w:basedOn w:val="DefaultParagraphFont"/>
    <w:uiPriority w:val="99"/>
    <w:semiHidden/>
    <w:unhideWhenUsed/>
    <w:rsid w:val="00C61C2F"/>
    <w:rPr>
      <w:color w:val="800080" w:themeColor="followedHyperlink"/>
      <w:u w:val="single"/>
    </w:rPr>
  </w:style>
  <w:style w:type="paragraph" w:styleId="FootnoteText">
    <w:name w:val="footnote text"/>
    <w:basedOn w:val="Normal"/>
    <w:link w:val="FootnoteTextChar"/>
    <w:uiPriority w:val="99"/>
    <w:unhideWhenUsed/>
    <w:rsid w:val="006F41B6"/>
    <w:rPr>
      <w:sz w:val="24"/>
      <w:szCs w:val="24"/>
    </w:rPr>
  </w:style>
  <w:style w:type="character" w:customStyle="1" w:styleId="FootnoteTextChar">
    <w:name w:val="Footnote Text Char"/>
    <w:basedOn w:val="DefaultParagraphFont"/>
    <w:link w:val="FootnoteText"/>
    <w:uiPriority w:val="99"/>
    <w:rsid w:val="006F41B6"/>
    <w:rPr>
      <w:sz w:val="24"/>
      <w:szCs w:val="24"/>
    </w:rPr>
  </w:style>
  <w:style w:type="character" w:styleId="FootnoteReference">
    <w:name w:val="footnote reference"/>
    <w:basedOn w:val="DefaultParagraphFont"/>
    <w:uiPriority w:val="99"/>
    <w:unhideWhenUsed/>
    <w:rsid w:val="006F41B6"/>
    <w:rPr>
      <w:vertAlign w:val="superscript"/>
    </w:rPr>
  </w:style>
  <w:style w:type="character" w:customStyle="1" w:styleId="ListParagraphChar">
    <w:name w:val="List Paragraph Char"/>
    <w:aliases w:val="List Bullet Mary Char,List Paragraph (numbered (a)) Char,Numbered List Paragraph Char,Bullets Char,List Bullet-OpsManual Char,References Char,Title Style 1 Char,Colorful List - Accent 11 Char,Normal 2 Char,Source Char,Sub Bullet Char"/>
    <w:basedOn w:val="DefaultParagraphFont"/>
    <w:link w:val="ListParagraph"/>
    <w:uiPriority w:val="34"/>
    <w:rsid w:val="00D33391"/>
  </w:style>
  <w:style w:type="paragraph" w:customStyle="1" w:styleId="Body">
    <w:name w:val="Body"/>
    <w:rsid w:val="002456C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efault">
    <w:name w:val="Default"/>
    <w:rsid w:val="008355AF"/>
    <w:pPr>
      <w:autoSpaceDE w:val="0"/>
      <w:autoSpaceDN w:val="0"/>
      <w:adjustRightInd w:val="0"/>
      <w:spacing w:after="0" w:line="240" w:lineRule="auto"/>
    </w:pPr>
    <w:rPr>
      <w:rFonts w:ascii="Trebuchet MS" w:hAnsi="Trebuchet MS" w:cs="Trebuchet MS"/>
      <w:color w:val="000000"/>
      <w:sz w:val="24"/>
      <w:szCs w:val="24"/>
    </w:rPr>
  </w:style>
  <w:style w:type="paragraph" w:styleId="PlainText">
    <w:name w:val="Plain Text"/>
    <w:basedOn w:val="Normal"/>
    <w:link w:val="PlainTextChar"/>
    <w:uiPriority w:val="99"/>
    <w:semiHidden/>
    <w:unhideWhenUsed/>
    <w:rsid w:val="00E354F0"/>
    <w:pPr>
      <w:jc w:val="left"/>
    </w:pPr>
    <w:rPr>
      <w:rFonts w:ascii="Calibri" w:eastAsiaTheme="minorEastAsia" w:hAnsi="Calibri" w:cs="Times New Roman"/>
      <w:szCs w:val="21"/>
    </w:rPr>
  </w:style>
  <w:style w:type="character" w:customStyle="1" w:styleId="PlainTextChar">
    <w:name w:val="Plain Text Char"/>
    <w:basedOn w:val="DefaultParagraphFont"/>
    <w:link w:val="PlainText"/>
    <w:uiPriority w:val="99"/>
    <w:semiHidden/>
    <w:rsid w:val="00E354F0"/>
    <w:rPr>
      <w:rFonts w:ascii="Calibri" w:eastAsiaTheme="minorEastAsia" w:hAnsi="Calibri" w:cs="Times New Roman"/>
      <w:szCs w:val="21"/>
    </w:rPr>
  </w:style>
  <w:style w:type="paragraph" w:customStyle="1" w:styleId="Outline">
    <w:name w:val="Outline"/>
    <w:basedOn w:val="Normal"/>
    <w:rsid w:val="00367501"/>
    <w:pPr>
      <w:spacing w:before="240"/>
      <w:jc w:val="left"/>
    </w:pPr>
    <w:rPr>
      <w:rFonts w:ascii="Times New Roman" w:eastAsia="Times New Roman" w:hAnsi="Times New Roman" w:cs="Times New Roman"/>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176758">
      <w:bodyDiv w:val="1"/>
      <w:marLeft w:val="0"/>
      <w:marRight w:val="0"/>
      <w:marTop w:val="0"/>
      <w:marBottom w:val="0"/>
      <w:divBdr>
        <w:top w:val="none" w:sz="0" w:space="0" w:color="auto"/>
        <w:left w:val="none" w:sz="0" w:space="0" w:color="auto"/>
        <w:bottom w:val="none" w:sz="0" w:space="0" w:color="auto"/>
        <w:right w:val="none" w:sz="0" w:space="0" w:color="auto"/>
      </w:divBdr>
      <w:divsChild>
        <w:div w:id="1007757953">
          <w:marLeft w:val="547"/>
          <w:marRight w:val="0"/>
          <w:marTop w:val="0"/>
          <w:marBottom w:val="0"/>
          <w:divBdr>
            <w:top w:val="none" w:sz="0" w:space="0" w:color="auto"/>
            <w:left w:val="none" w:sz="0" w:space="0" w:color="auto"/>
            <w:bottom w:val="none" w:sz="0" w:space="0" w:color="auto"/>
            <w:right w:val="none" w:sz="0" w:space="0" w:color="auto"/>
          </w:divBdr>
        </w:div>
      </w:divsChild>
    </w:div>
    <w:div w:id="806823091">
      <w:bodyDiv w:val="1"/>
      <w:marLeft w:val="0"/>
      <w:marRight w:val="0"/>
      <w:marTop w:val="0"/>
      <w:marBottom w:val="0"/>
      <w:divBdr>
        <w:top w:val="none" w:sz="0" w:space="0" w:color="auto"/>
        <w:left w:val="none" w:sz="0" w:space="0" w:color="auto"/>
        <w:bottom w:val="none" w:sz="0" w:space="0" w:color="auto"/>
        <w:right w:val="none" w:sz="0" w:space="0" w:color="auto"/>
      </w:divBdr>
      <w:divsChild>
        <w:div w:id="449593986">
          <w:marLeft w:val="720"/>
          <w:marRight w:val="0"/>
          <w:marTop w:val="96"/>
          <w:marBottom w:val="0"/>
          <w:divBdr>
            <w:top w:val="none" w:sz="0" w:space="0" w:color="auto"/>
            <w:left w:val="none" w:sz="0" w:space="0" w:color="auto"/>
            <w:bottom w:val="none" w:sz="0" w:space="0" w:color="auto"/>
            <w:right w:val="none" w:sz="0" w:space="0" w:color="auto"/>
          </w:divBdr>
        </w:div>
        <w:div w:id="280037767">
          <w:marLeft w:val="720"/>
          <w:marRight w:val="0"/>
          <w:marTop w:val="96"/>
          <w:marBottom w:val="0"/>
          <w:divBdr>
            <w:top w:val="none" w:sz="0" w:space="0" w:color="auto"/>
            <w:left w:val="none" w:sz="0" w:space="0" w:color="auto"/>
            <w:bottom w:val="none" w:sz="0" w:space="0" w:color="auto"/>
            <w:right w:val="none" w:sz="0" w:space="0" w:color="auto"/>
          </w:divBdr>
        </w:div>
        <w:div w:id="1589804843">
          <w:marLeft w:val="720"/>
          <w:marRight w:val="0"/>
          <w:marTop w:val="96"/>
          <w:marBottom w:val="0"/>
          <w:divBdr>
            <w:top w:val="none" w:sz="0" w:space="0" w:color="auto"/>
            <w:left w:val="none" w:sz="0" w:space="0" w:color="auto"/>
            <w:bottom w:val="none" w:sz="0" w:space="0" w:color="auto"/>
            <w:right w:val="none" w:sz="0" w:space="0" w:color="auto"/>
          </w:divBdr>
        </w:div>
      </w:divsChild>
    </w:div>
    <w:div w:id="1049263516">
      <w:bodyDiv w:val="1"/>
      <w:marLeft w:val="0"/>
      <w:marRight w:val="0"/>
      <w:marTop w:val="0"/>
      <w:marBottom w:val="0"/>
      <w:divBdr>
        <w:top w:val="none" w:sz="0" w:space="0" w:color="auto"/>
        <w:left w:val="none" w:sz="0" w:space="0" w:color="auto"/>
        <w:bottom w:val="none" w:sz="0" w:space="0" w:color="auto"/>
        <w:right w:val="none" w:sz="0" w:space="0" w:color="auto"/>
      </w:divBdr>
    </w:div>
    <w:div w:id="1409695119">
      <w:bodyDiv w:val="1"/>
      <w:marLeft w:val="0"/>
      <w:marRight w:val="0"/>
      <w:marTop w:val="0"/>
      <w:marBottom w:val="0"/>
      <w:divBdr>
        <w:top w:val="none" w:sz="0" w:space="0" w:color="auto"/>
        <w:left w:val="none" w:sz="0" w:space="0" w:color="auto"/>
        <w:bottom w:val="none" w:sz="0" w:space="0" w:color="auto"/>
        <w:right w:val="none" w:sz="0" w:space="0" w:color="auto"/>
      </w:divBdr>
    </w:div>
    <w:div w:id="1631475427">
      <w:bodyDiv w:val="1"/>
      <w:marLeft w:val="0"/>
      <w:marRight w:val="0"/>
      <w:marTop w:val="0"/>
      <w:marBottom w:val="0"/>
      <w:divBdr>
        <w:top w:val="none" w:sz="0" w:space="0" w:color="auto"/>
        <w:left w:val="none" w:sz="0" w:space="0" w:color="auto"/>
        <w:bottom w:val="none" w:sz="0" w:space="0" w:color="auto"/>
        <w:right w:val="none" w:sz="0" w:space="0" w:color="auto"/>
      </w:divBdr>
    </w:div>
    <w:div w:id="20970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pia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iaf.org/ppiaf/page/about-us/what-is-ppiaf"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gif@01D0EB2E.F7730E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2D3EB-A6C0-4A91-95DA-F252A45C3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Jemima T. Sy</dc:creator>
  <cp:lastModifiedBy>Jemima T. Sy</cp:lastModifiedBy>
  <cp:revision>9</cp:revision>
  <cp:lastPrinted>2015-11-10T23:10:00Z</cp:lastPrinted>
  <dcterms:created xsi:type="dcterms:W3CDTF">2016-07-01T21:23:00Z</dcterms:created>
  <dcterms:modified xsi:type="dcterms:W3CDTF">2016-07-08T22:00:00Z</dcterms:modified>
</cp:coreProperties>
</file>